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516BC" w14:textId="508CF1BF" w:rsidR="00C34368" w:rsidRPr="00C34368" w:rsidRDefault="00C34368" w:rsidP="00C34368">
      <w:pPr>
        <w:jc w:val="center"/>
        <w:rPr>
          <w:b/>
          <w:bCs/>
        </w:rPr>
      </w:pPr>
      <w:r w:rsidRPr="00C34368">
        <w:rPr>
          <w:b/>
          <w:bCs/>
        </w:rPr>
        <w:t>Анализ российского рынка денежных переводов: итоги 2019 г., прогноз до 2022 г.</w:t>
      </w:r>
    </w:p>
    <w:p w14:paraId="2285F6E0" w14:textId="77777777" w:rsidR="00C34368" w:rsidRDefault="00C34368" w:rsidP="00C34368"/>
    <w:p w14:paraId="085CBB48" w14:textId="77777777" w:rsidR="00C34368" w:rsidRDefault="00C34368" w:rsidP="00C34368">
      <w:pPr>
        <w:jc w:val="both"/>
      </w:pPr>
      <w:r>
        <w:t>В декабре 2020 г. исследовательская компания NeoAnalytics завершила проведение маркетингового исследования российского рынка денежных переводов.</w:t>
      </w:r>
    </w:p>
    <w:p w14:paraId="68896CB4" w14:textId="77777777" w:rsidR="00C34368" w:rsidRDefault="00C34368" w:rsidP="00C34368">
      <w:pPr>
        <w:jc w:val="both"/>
      </w:pPr>
    </w:p>
    <w:p w14:paraId="7B1C3464" w14:textId="4A231A4E" w:rsidR="00C34368" w:rsidRDefault="00C34368" w:rsidP="00C34368">
      <w:pPr>
        <w:jc w:val="both"/>
      </w:pPr>
      <w:r>
        <w:t>В ходе исследования, проведенного NeoAnalytics на тему “Российский рынок денежных переводов: итоги 2019 г., прогноз до 2022 г.», выяснилось, что объем денежных переводов без открытия счета внутри РФ в 2019 году составил 2576,6 млрд. руб. и снизился на 15,3% относительно 2018 года. Объем денежных переводов без открытия счета из России в 2019 году составил 7,5 млрд. долл. США и снизился на 20,5%. Объем денежных переводов без открытия счета в Россию в 2019 году составил 3329,4 млрд. долл. США и увеличился на 25,5%.</w:t>
      </w:r>
    </w:p>
    <w:p w14:paraId="0412DBF7" w14:textId="77777777" w:rsidR="00C34368" w:rsidRDefault="00C34368" w:rsidP="00C34368">
      <w:pPr>
        <w:jc w:val="both"/>
      </w:pPr>
    </w:p>
    <w:p w14:paraId="628D3B1D" w14:textId="77777777" w:rsidR="00C34368" w:rsidRDefault="00C34368" w:rsidP="00C34368">
      <w:pPr>
        <w:jc w:val="both"/>
      </w:pPr>
      <w:r>
        <w:t>Факторами, влияющими на развитие рынка денежных переводов, являются:</w:t>
      </w:r>
    </w:p>
    <w:p w14:paraId="5F21C410" w14:textId="77777777" w:rsidR="00C34368" w:rsidRDefault="00C34368" w:rsidP="00C34368">
      <w:pPr>
        <w:jc w:val="both"/>
      </w:pPr>
      <w:r>
        <w:t>•</w:t>
      </w:r>
      <w:r>
        <w:tab/>
        <w:t xml:space="preserve">трудовая миграция; </w:t>
      </w:r>
    </w:p>
    <w:p w14:paraId="2D6B95AC" w14:textId="77777777" w:rsidR="00C34368" w:rsidRDefault="00C34368" w:rsidP="00C34368">
      <w:pPr>
        <w:jc w:val="both"/>
      </w:pPr>
      <w:r>
        <w:t>•</w:t>
      </w:r>
      <w:r>
        <w:tab/>
        <w:t>неравномерный уровень жизни в различных регионах страны (и стран зарубежья);</w:t>
      </w:r>
    </w:p>
    <w:p w14:paraId="1359A4A1" w14:textId="77777777" w:rsidR="00C34368" w:rsidRDefault="00C34368" w:rsidP="00C34368">
      <w:pPr>
        <w:jc w:val="both"/>
      </w:pPr>
      <w:r>
        <w:t>•</w:t>
      </w:r>
      <w:r>
        <w:tab/>
        <w:t xml:space="preserve">повышение доступности финансовых каналов; </w:t>
      </w:r>
    </w:p>
    <w:p w14:paraId="710D705A" w14:textId="77777777" w:rsidR="00C34368" w:rsidRDefault="00C34368" w:rsidP="00C34368">
      <w:pPr>
        <w:jc w:val="both"/>
      </w:pPr>
      <w:r>
        <w:t>•</w:t>
      </w:r>
      <w:r>
        <w:tab/>
        <w:t xml:space="preserve">снижение тарифов. </w:t>
      </w:r>
    </w:p>
    <w:p w14:paraId="2B9C31EB" w14:textId="77777777" w:rsidR="00C34368" w:rsidRDefault="00C34368" w:rsidP="00C34368">
      <w:pPr>
        <w:jc w:val="both"/>
      </w:pPr>
    </w:p>
    <w:p w14:paraId="2233DCB7" w14:textId="77777777" w:rsidR="00C34368" w:rsidRDefault="00C34368" w:rsidP="00C34368">
      <w:pPr>
        <w:jc w:val="both"/>
      </w:pPr>
      <w:r>
        <w:t xml:space="preserve">Российский рынок денежных переводов контролируется тремя российскими компаниями «Золотая Корона – Денежные Переводы», CONTACT и «Юнистрим». Общая их доля рынка составляет 88%. В ближайшей перспективе данная ситуация сохранится. Возможно усиление активности таких игроков, как «Сбербанк» и «Почта России», владеющих широкой инфраструктурной сетью. </w:t>
      </w:r>
    </w:p>
    <w:p w14:paraId="3AA711E0" w14:textId="77777777" w:rsidR="00C34368" w:rsidRDefault="00C34368" w:rsidP="00C34368">
      <w:pPr>
        <w:jc w:val="both"/>
      </w:pPr>
    </w:p>
    <w:p w14:paraId="36659D76" w14:textId="77777777" w:rsidR="00C34368" w:rsidRDefault="00C34368" w:rsidP="00C34368">
      <w:pPr>
        <w:jc w:val="both"/>
      </w:pPr>
      <w:r>
        <w:t>В связи с ростом конкуренции на рынке, компании начинают развивать мульти сервисные системы платежей. Помимо традиционных услуг перевода денег, предлагаются дополнительные услуги - переводы со счетов мобильных телефонов, переводы через терминалы, пополнение банковских счетов, электронных кошельков, оплата коммунальных услуг и др.</w:t>
      </w:r>
    </w:p>
    <w:p w14:paraId="73567E99" w14:textId="77777777" w:rsidR="00C34368" w:rsidRDefault="00C34368" w:rsidP="00C34368">
      <w:pPr>
        <w:jc w:val="both"/>
      </w:pPr>
    </w:p>
    <w:p w14:paraId="58439F67" w14:textId="77777777" w:rsidR="00C34368" w:rsidRDefault="00C34368" w:rsidP="00C34368">
      <w:pPr>
        <w:jc w:val="both"/>
      </w:pPr>
      <w:r>
        <w:t>Стремительный рост цифровых технологий приводит к росту популярности электронных платежных систем. Практически все компании начинают развивать свои онлайн-проекты.</w:t>
      </w:r>
    </w:p>
    <w:p w14:paraId="35471AF2" w14:textId="77777777" w:rsidR="00C34368" w:rsidRDefault="00C34368" w:rsidP="00C34368">
      <w:pPr>
        <w:jc w:val="both"/>
      </w:pPr>
      <w:r>
        <w:t>Основой денежных переводов являются денежные средства трудовых мигрантов. Миграционный поток в России увеличивается. В связи с этим ожидается положительная динамика развития рынка денежных переводов в России.</w:t>
      </w:r>
    </w:p>
    <w:p w14:paraId="03E1784E" w14:textId="77777777" w:rsidR="00C34368" w:rsidRDefault="00C34368" w:rsidP="00C34368">
      <w:pPr>
        <w:jc w:val="both"/>
      </w:pPr>
    </w:p>
    <w:p w14:paraId="7BD0F943" w14:textId="77777777" w:rsidR="00C34368" w:rsidRDefault="00C34368" w:rsidP="00C34368">
      <w:pPr>
        <w:jc w:val="both"/>
      </w:pPr>
      <w:r>
        <w:t>Данный отчет является продуктом интеллектуальной собственностью исследовательской компании NeoAnalytics</w:t>
      </w:r>
      <w:r>
        <w:tab/>
      </w:r>
    </w:p>
    <w:p w14:paraId="1AF770A2" w14:textId="77777777" w:rsidR="00C34368" w:rsidRDefault="00C34368" w:rsidP="00C34368">
      <w:pPr>
        <w:jc w:val="both"/>
      </w:pPr>
    </w:p>
    <w:p w14:paraId="79F8043A" w14:textId="21A8C2E8" w:rsidR="00D709F8" w:rsidRDefault="00C34368" w:rsidP="00C34368">
      <w:pPr>
        <w:jc w:val="both"/>
      </w:pPr>
      <w:r>
        <w:lastRenderedPageBreak/>
        <w:t>Более подробно с результатами исследования можно ознакомиться на официальном сайте www.neoanalytics.ru</w:t>
      </w:r>
    </w:p>
    <w:sectPr w:rsidR="00D7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8"/>
    <w:rsid w:val="00A0655A"/>
    <w:rsid w:val="00C34368"/>
    <w:rsid w:val="00D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99C5"/>
  <w15:chartTrackingRefBased/>
  <w15:docId w15:val="{D9FC88CA-4051-49B2-9C5A-A81497E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2020-12-30T09:14:00Z</dcterms:created>
  <dcterms:modified xsi:type="dcterms:W3CDTF">2020-12-30T09:14:00Z</dcterms:modified>
</cp:coreProperties>
</file>