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865E21" w14:paraId="69D5DA6C" w14:textId="77777777">
        <w:tc>
          <w:tcPr>
            <w:tcW w:w="5571" w:type="dxa"/>
            <w:shd w:val="clear" w:color="auto" w:fill="auto"/>
          </w:tcPr>
          <w:p w14:paraId="540A23DE" w14:textId="77777777" w:rsidR="00865E21" w:rsidRDefault="00B8171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0641CCF" wp14:editId="1BB1D62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16" y="2209"/>
                      <wp:lineTo x="2772" y="3365"/>
                      <wp:lineTo x="1428" y="7258"/>
                      <wp:lineTo x="1564" y="15815"/>
                      <wp:lineTo x="3445" y="20094"/>
                      <wp:lineTo x="3980" y="20094"/>
                      <wp:lineTo x="5196" y="20094"/>
                      <wp:lineTo x="6405" y="20094"/>
                      <wp:lineTo x="15278" y="15430"/>
                      <wp:lineTo x="15278" y="14659"/>
                      <wp:lineTo x="18503" y="11537"/>
                      <wp:lineTo x="19582" y="9975"/>
                      <wp:lineTo x="18910" y="8435"/>
                      <wp:lineTo x="19711" y="7258"/>
                      <wp:lineTo x="17566" y="6102"/>
                      <wp:lineTo x="5596" y="2209"/>
                      <wp:lineTo x="3716" y="220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070EB9D" wp14:editId="570BA14D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437FACF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229DD05C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1B4F2853" w14:textId="77777777" w:rsidR="00865E21" w:rsidRDefault="00865E21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CAB5E5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69B0DF71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178D64E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53C24986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5F8B75B1" w14:textId="77777777" w:rsidR="00865E21" w:rsidRDefault="00865E21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pt;height:114.65pt;mso-wrap-style:square;v-text-anchor:top;mso-position-horizontal-relative:margin" wp14:anchorId="002A73F8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14:paraId="240EE0E1" w14:textId="77777777" w:rsidR="00865E21" w:rsidRDefault="00865E21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C295466" w14:textId="77777777" w:rsidR="00865E21" w:rsidRDefault="00865E21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6897ADDC" w14:textId="77777777" w:rsidR="00865E21" w:rsidRDefault="00865E21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1DF5C4D7" w14:textId="77777777" w:rsidR="00865E21" w:rsidRDefault="00B81712">
      <w:pPr>
        <w:spacing w:before="80" w:after="80"/>
        <w:jc w:val="both"/>
        <w:rPr>
          <w:rFonts w:ascii="Trebuchet MS" w:eastAsia="Rosatom" w:hAnsi="Trebuchet MS"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color w:val="404040" w:themeColor="text1" w:themeTint="BF"/>
          <w:sz w:val="24"/>
          <w:szCs w:val="24"/>
        </w:rPr>
        <w:t>ПРЕСС-РЕЛИЗ</w:t>
      </w:r>
    </w:p>
    <w:p w14:paraId="788D1F81" w14:textId="77777777" w:rsidR="00865E21" w:rsidRDefault="00B81712">
      <w:pPr>
        <w:spacing w:after="80" w:line="218" w:lineRule="auto"/>
        <w:ind w:right="1503" w:hanging="11"/>
        <w:jc w:val="both"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28.04.2022</w:t>
      </w:r>
    </w:p>
    <w:p w14:paraId="58FE88EE" w14:textId="77777777" w:rsidR="00865E21" w:rsidRDefault="00B81712">
      <w:pPr>
        <w:spacing w:after="62" w:line="240" w:lineRule="auto"/>
        <w:jc w:val="both"/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</w:pPr>
      <w:r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 xml:space="preserve">Свыше 4-х млрд рублей налоговых отчислений получил в 2021 году бюджет региона присутствия Курской АЭС </w:t>
      </w:r>
    </w:p>
    <w:p w14:paraId="37D7F00C" w14:textId="77777777" w:rsidR="00865E21" w:rsidRDefault="00865E21">
      <w:pPr>
        <w:pStyle w:val="--"/>
        <w:spacing w:after="80" w:line="244" w:lineRule="auto"/>
        <w:ind w:firstLine="0"/>
        <w:contextualSpacing w:val="0"/>
        <w:rPr>
          <w:sz w:val="10"/>
          <w:szCs w:val="10"/>
        </w:rPr>
      </w:pPr>
    </w:p>
    <w:p w14:paraId="7220D12D" w14:textId="77777777" w:rsidR="00865E21" w:rsidRDefault="00B81712">
      <w:pPr>
        <w:pStyle w:val="--"/>
        <w:spacing w:after="80" w:line="244" w:lineRule="auto"/>
        <w:ind w:firstLine="0"/>
        <w:contextualSpacing w:val="0"/>
        <w:rPr>
          <w:rFonts w:eastAsiaTheme="minorHAnsi" w:cs="Arial"/>
          <w:lang w:bidi="ru-RU"/>
        </w:rPr>
      </w:pPr>
      <w:r>
        <w:rPr>
          <w:rFonts w:eastAsiaTheme="minorHAnsi" w:cs="Arial"/>
          <w:lang w:bidi="ru-RU"/>
        </w:rPr>
        <w:t xml:space="preserve">Основная часть налоговых поступлений в объеме 3,203 млрд рублей – это налог на прибыль от консолидированной группы налогоплательщиков компаний Госкорпорации «Росатом», участником которой является и Концерн «Росэнергоатом». </w:t>
      </w:r>
      <w:bookmarkStart w:id="0" w:name="_Hlk101965991"/>
      <w:r>
        <w:rPr>
          <w:rFonts w:eastAsiaTheme="minorHAnsi" w:cs="Arial"/>
          <w:lang w:bidi="ru-RU"/>
        </w:rPr>
        <w:t>Налоговые отчисления по прочим на</w:t>
      </w:r>
      <w:r>
        <w:rPr>
          <w:rFonts w:eastAsiaTheme="minorHAnsi" w:cs="Arial"/>
          <w:lang w:bidi="ru-RU"/>
        </w:rPr>
        <w:t xml:space="preserve">логам, перечисленным Курской АЭС в бюджет региона, составили в прошлом году около 1 млрд рублей.  </w:t>
      </w:r>
      <w:bookmarkEnd w:id="0"/>
    </w:p>
    <w:p w14:paraId="70059CDD" w14:textId="494D4916" w:rsidR="00865E21" w:rsidRDefault="00B81712">
      <w:pPr>
        <w:pStyle w:val="--"/>
        <w:spacing w:after="80" w:line="244" w:lineRule="auto"/>
        <w:ind w:firstLine="0"/>
        <w:contextualSpacing w:val="0"/>
        <w:rPr>
          <w:rFonts w:cs="Arial"/>
          <w:bCs/>
        </w:rPr>
      </w:pPr>
      <w:r>
        <w:rPr>
          <w:rFonts w:eastAsiaTheme="minorHAnsi" w:cs="Arial"/>
          <w:lang w:bidi="ru-RU"/>
        </w:rPr>
        <w:t xml:space="preserve">В рамках соглашения о сотрудничестве, которое было подписано </w:t>
      </w:r>
      <w:r>
        <w:rPr>
          <w:rFonts w:cs="Arial"/>
          <w:bCs/>
        </w:rPr>
        <w:t>между Росатомом и администрацией Курской области ещё в 2013 году, часть налоговых отчислений, по</w:t>
      </w:r>
      <w:r>
        <w:rPr>
          <w:rFonts w:cs="Arial"/>
          <w:bCs/>
        </w:rPr>
        <w:t xml:space="preserve">лученных от </w:t>
      </w:r>
      <w:r>
        <w:rPr>
          <w:rFonts w:eastAsiaTheme="minorHAnsi" w:cs="Arial"/>
          <w:bCs/>
          <w:lang w:bidi="ru-RU"/>
        </w:rPr>
        <w:t>консолидированной группы налогоплательщиков</w:t>
      </w:r>
      <w:r>
        <w:rPr>
          <w:rFonts w:cs="Arial"/>
          <w:bCs/>
        </w:rPr>
        <w:t xml:space="preserve"> Росатома,</w:t>
      </w:r>
      <w:r>
        <w:rPr>
          <w:rFonts w:cs="Arial"/>
          <w:bCs/>
        </w:rPr>
        <w:t xml:space="preserve"> направляется в бюджет г. Курчатова для реализации проектов муниципального развития. В 2021 году эта сумма составила 311,5 млн рублей.</w:t>
      </w:r>
    </w:p>
    <w:p w14:paraId="225FAB52" w14:textId="34F9AB35" w:rsidR="00865E21" w:rsidRDefault="00B81712">
      <w:pPr>
        <w:pStyle w:val="--"/>
        <w:spacing w:after="80" w:line="244" w:lineRule="auto"/>
        <w:ind w:firstLine="0"/>
        <w:contextualSpacing w:val="0"/>
        <w:rPr>
          <w:rFonts w:eastAsiaTheme="minorHAnsi" w:cs="Arial"/>
          <w:color w:val="000000"/>
          <w:lang w:bidi="ru-RU"/>
        </w:rPr>
      </w:pPr>
      <w:r>
        <w:rPr>
          <w:rFonts w:eastAsiaTheme="minorHAnsi" w:cs="Arial"/>
          <w:color w:val="000000"/>
          <w:lang w:bidi="ru-RU"/>
        </w:rPr>
        <w:t>«Сегодня Курская АЭС входит в число крупнейших налогопл</w:t>
      </w:r>
      <w:r>
        <w:rPr>
          <w:rFonts w:eastAsiaTheme="minorHAnsi" w:cs="Arial"/>
          <w:color w:val="000000"/>
          <w:lang w:bidi="ru-RU"/>
        </w:rPr>
        <w:t>ательщиков области и является одним из лидеров социального развития региона присутствия. Дополнительные налоговые отчисления поступают в регион от реализации</w:t>
      </w:r>
      <w:r>
        <w:rPr>
          <w:rFonts w:eastAsiaTheme="minorHAnsi" w:cs="Arial"/>
          <w:color w:val="000000"/>
          <w:lang w:bidi="ru-RU"/>
        </w:rPr>
        <w:t xml:space="preserve"> инвестиционных программ и проектов Росатома, важнейший среди которых – Курская АЭС-2», – отметил </w:t>
      </w:r>
      <w:proofErr w:type="spellStart"/>
      <w:r>
        <w:rPr>
          <w:rFonts w:eastAsiaTheme="minorHAnsi" w:cs="Arial"/>
          <w:color w:val="000000"/>
          <w:lang w:bidi="ru-RU"/>
        </w:rPr>
        <w:t>и.о</w:t>
      </w:r>
      <w:proofErr w:type="spellEnd"/>
      <w:r>
        <w:rPr>
          <w:rFonts w:eastAsiaTheme="minorHAnsi" w:cs="Arial"/>
          <w:color w:val="000000"/>
          <w:lang w:bidi="ru-RU"/>
        </w:rPr>
        <w:t xml:space="preserve">. директора Курской АЭС, первый заместитель директора по сооружению новых блоков </w:t>
      </w:r>
      <w:r>
        <w:rPr>
          <w:rFonts w:eastAsiaTheme="minorHAnsi" w:cs="Arial"/>
          <w:b/>
          <w:bCs/>
          <w:color w:val="000000"/>
          <w:lang w:bidi="ru-RU"/>
        </w:rPr>
        <w:t xml:space="preserve">Андрей </w:t>
      </w:r>
      <w:proofErr w:type="spellStart"/>
      <w:r>
        <w:rPr>
          <w:rFonts w:eastAsiaTheme="minorHAnsi" w:cs="Arial"/>
          <w:b/>
          <w:bCs/>
          <w:color w:val="000000"/>
          <w:lang w:bidi="ru-RU"/>
        </w:rPr>
        <w:t>Ошарин</w:t>
      </w:r>
      <w:proofErr w:type="spellEnd"/>
      <w:r>
        <w:rPr>
          <w:rFonts w:eastAsiaTheme="minorHAnsi" w:cs="Arial"/>
          <w:b/>
          <w:bCs/>
          <w:color w:val="000000"/>
          <w:lang w:bidi="ru-RU"/>
        </w:rPr>
        <w:t xml:space="preserve">. </w:t>
      </w:r>
      <w:r>
        <w:rPr>
          <w:rFonts w:eastAsiaTheme="minorHAnsi" w:cs="Arial"/>
          <w:color w:val="000000"/>
          <w:lang w:bidi="ru-RU"/>
        </w:rPr>
        <w:t xml:space="preserve"> </w:t>
      </w:r>
    </w:p>
    <w:p w14:paraId="4B3C24F5" w14:textId="6929DE67" w:rsidR="00865E21" w:rsidRDefault="00B81712">
      <w:pPr>
        <w:pStyle w:val="--"/>
        <w:spacing w:after="80" w:line="244" w:lineRule="auto"/>
        <w:ind w:firstLine="0"/>
        <w:contextualSpacing w:val="0"/>
        <w:rPr>
          <w:rFonts w:eastAsiaTheme="minorHAnsi" w:cs="Arial"/>
          <w:color w:val="000000"/>
          <w:lang w:bidi="ru-RU"/>
        </w:rPr>
      </w:pPr>
      <w:r>
        <w:rPr>
          <w:rFonts w:eastAsiaTheme="minorHAnsi" w:cs="Arial"/>
          <w:color w:val="000000"/>
          <w:lang w:bidi="ru-RU"/>
        </w:rPr>
        <w:t xml:space="preserve">По его словам, строительство станции замещения создает сегодня условия для инфраструктурного и экономического развития региона, </w:t>
      </w:r>
      <w:r>
        <w:rPr>
          <w:rFonts w:eastAsiaTheme="minorHAnsi" w:cs="Arial"/>
          <w:color w:val="000000"/>
          <w:lang w:bidi="ru-RU"/>
        </w:rPr>
        <w:t>малого и среднего бизнеса, а также организует дополнительные рабочие места. В настоящее время на стройплощадке трудятся около 8-</w:t>
      </w:r>
      <w:r>
        <w:rPr>
          <w:rFonts w:eastAsiaTheme="minorHAnsi" w:cs="Arial"/>
          <w:color w:val="000000"/>
          <w:lang w:bidi="ru-RU"/>
        </w:rPr>
        <w:t>и тысяч человек.</w:t>
      </w:r>
    </w:p>
    <w:p w14:paraId="5D629F5F" w14:textId="77777777" w:rsidR="00865E21" w:rsidRDefault="00B81712">
      <w:pPr>
        <w:spacing w:after="80" w:line="244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Помимо налоговых отчислений, Курская АЭС в рамках благотворительной деятельности и пожертвований направила в 2</w:t>
      </w:r>
      <w:r>
        <w:rPr>
          <w:color w:val="000000"/>
          <w:sz w:val="24"/>
          <w:szCs w:val="24"/>
          <w:lang w:bidi="ru-RU"/>
        </w:rPr>
        <w:t>021 году более 171,5 млн рублей на социальное развитие региона. Эти средства выделены на благоустройство социальных объектов, создание памятников культурного наследия, возрождение духовных святынь, поддержку общественных организаций, медицинских, образоват</w:t>
      </w:r>
      <w:r>
        <w:rPr>
          <w:color w:val="000000"/>
          <w:sz w:val="24"/>
          <w:szCs w:val="24"/>
          <w:lang w:bidi="ru-RU"/>
        </w:rPr>
        <w:t xml:space="preserve">ельных и спортивных учреждений Курской области. </w:t>
      </w:r>
    </w:p>
    <w:p w14:paraId="2B88ED95" w14:textId="77777777" w:rsidR="00865E21" w:rsidRDefault="00865E21">
      <w:pPr>
        <w:spacing w:after="80" w:line="244" w:lineRule="auto"/>
        <w:jc w:val="both"/>
        <w:rPr>
          <w:color w:val="000000"/>
          <w:sz w:val="24"/>
          <w:szCs w:val="24"/>
          <w:lang w:bidi="ru-RU"/>
        </w:rPr>
      </w:pPr>
    </w:p>
    <w:p w14:paraId="3F0F4073" w14:textId="77777777" w:rsidR="00865E21" w:rsidRDefault="00B81712">
      <w:pPr>
        <w:spacing w:after="80" w:line="244" w:lineRule="auto"/>
        <w:jc w:val="both"/>
        <w:rPr>
          <w:i/>
          <w:iCs/>
        </w:rPr>
      </w:pPr>
      <w:r>
        <w:rPr>
          <w:b/>
          <w:i/>
          <w:iCs/>
          <w:sz w:val="24"/>
          <w:szCs w:val="24"/>
        </w:rPr>
        <w:t>Справочно:</w:t>
      </w:r>
      <w:r>
        <w:rPr>
          <w:i/>
          <w:iCs/>
          <w:color w:val="000000"/>
          <w:sz w:val="24"/>
          <w:szCs w:val="24"/>
          <w:lang w:bidi="ru-RU"/>
        </w:rPr>
        <w:t xml:space="preserve"> </w:t>
      </w:r>
    </w:p>
    <w:p w14:paraId="47285504" w14:textId="77777777" w:rsidR="00865E21" w:rsidRPr="00B81712" w:rsidRDefault="00B81712">
      <w:pPr>
        <w:spacing w:after="80" w:line="244" w:lineRule="auto"/>
        <w:jc w:val="both"/>
        <w:rPr>
          <w:color w:val="000000"/>
          <w:lang w:bidi="ru-RU"/>
        </w:rPr>
      </w:pPr>
      <w:r w:rsidRPr="00B81712">
        <w:rPr>
          <w:i/>
          <w:iCs/>
          <w:color w:val="000000"/>
          <w:lang w:bidi="ru-RU"/>
        </w:rPr>
        <w:t>Курская АЭС занимает лидирующие позиции в электроэнергетике Центрально-Черноземного экономического района. На долю Курской АЭС приходится около 96% установленной мощности всех электростанций обл</w:t>
      </w:r>
      <w:r w:rsidRPr="00B81712">
        <w:rPr>
          <w:i/>
          <w:iCs/>
          <w:color w:val="000000"/>
          <w:lang w:bidi="ru-RU"/>
        </w:rPr>
        <w:t xml:space="preserve">асти. При этом 80% вырабатываемой электроэнергии направляется в энергосистему «Центр», которая снабжает 19 субъектов Российской Федерации. За время работы Курской АЭС с 1976 года в энергосистему страны направлено более 995 млрд </w:t>
      </w:r>
      <w:proofErr w:type="spellStart"/>
      <w:r w:rsidRPr="00B81712">
        <w:rPr>
          <w:i/>
          <w:iCs/>
          <w:color w:val="000000"/>
          <w:lang w:bidi="ru-RU"/>
        </w:rPr>
        <w:t>кВт∙ч</w:t>
      </w:r>
      <w:proofErr w:type="spellEnd"/>
      <w:r w:rsidRPr="00B81712">
        <w:rPr>
          <w:i/>
          <w:iCs/>
          <w:color w:val="000000"/>
          <w:lang w:bidi="ru-RU"/>
        </w:rPr>
        <w:t xml:space="preserve"> электроэнергии</w:t>
      </w:r>
      <w:r w:rsidRPr="00B81712">
        <w:rPr>
          <w:color w:val="000000"/>
          <w:lang w:bidi="ru-RU"/>
        </w:rPr>
        <w:t>.</w:t>
      </w:r>
    </w:p>
    <w:p w14:paraId="7152611A" w14:textId="77777777" w:rsidR="00865E21" w:rsidRDefault="00B81712">
      <w:pPr>
        <w:spacing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</w:t>
      </w:r>
      <w:r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ение информации и общественных связей Курской АЭС</w:t>
      </w:r>
    </w:p>
    <w:sectPr w:rsidR="00865E21">
      <w:pgSz w:w="11906" w:h="16838"/>
      <w:pgMar w:top="1134" w:right="881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21"/>
    <w:rsid w:val="000A6B44"/>
    <w:rsid w:val="00865E21"/>
    <w:rsid w:val="00B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6FC"/>
  <w15:docId w15:val="{A6E5C734-FF4D-4B0A-8C4D-F586A4B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--">
    <w:name w:val="АЛР-ОС-Т"/>
    <w:basedOn w:val="aa"/>
    <w:qFormat/>
    <w:rsid w:val="000D0173"/>
    <w:pPr>
      <w:spacing w:line="240" w:lineRule="auto"/>
      <w:ind w:firstLine="709"/>
      <w:contextualSpacing/>
      <w:jc w:val="both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030-B27A-4C94-8EEF-47E9BEC4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27</cp:revision>
  <cp:lastPrinted>2021-12-16T06:09:00Z</cp:lastPrinted>
  <dcterms:created xsi:type="dcterms:W3CDTF">2021-12-16T08:16:00Z</dcterms:created>
  <dcterms:modified xsi:type="dcterms:W3CDTF">2022-04-29T05:47:00Z</dcterms:modified>
  <dc:language>ru-RU</dc:language>
</cp:coreProperties>
</file>