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9F30B5" w:rsidRDefault="009F30B5" w:rsidP="001774F7">
            <w:pPr>
              <w:jc w:val="center"/>
              <w:rPr>
                <w:b/>
                <w:sz w:val="28"/>
                <w:szCs w:val="28"/>
              </w:rPr>
            </w:pPr>
          </w:p>
          <w:p w:rsidR="00CF27EB" w:rsidRDefault="00F06445" w:rsidP="00CF2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4F4EF6">
              <w:rPr>
                <w:b/>
                <w:sz w:val="28"/>
                <w:szCs w:val="28"/>
              </w:rPr>
              <w:t>правляющую</w:t>
            </w:r>
            <w:r w:rsidR="00CF27EB">
              <w:rPr>
                <w:b/>
                <w:sz w:val="28"/>
                <w:szCs w:val="28"/>
              </w:rPr>
              <w:t xml:space="preserve"> </w:t>
            </w:r>
            <w:r w:rsidR="004F4EF6">
              <w:rPr>
                <w:b/>
                <w:sz w:val="28"/>
                <w:szCs w:val="28"/>
              </w:rPr>
              <w:t>организацию «Этажи»</w:t>
            </w:r>
            <w:r w:rsidR="00CF27EB">
              <w:rPr>
                <w:b/>
                <w:sz w:val="28"/>
                <w:szCs w:val="28"/>
              </w:rPr>
              <w:t xml:space="preserve"> подозревают в причинении ущерба «ТНС энерго Кубань»</w:t>
            </w:r>
          </w:p>
          <w:p w:rsidR="001A2C3B" w:rsidRPr="00A71F23" w:rsidRDefault="001A2C3B" w:rsidP="009209B1">
            <w:pPr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CF27EB" w:rsidRDefault="00CF27EB" w:rsidP="00CF27E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1A2C3B">
              <w:rPr>
                <w:i/>
                <w:sz w:val="28"/>
                <w:szCs w:val="28"/>
              </w:rPr>
              <w:t xml:space="preserve"> октября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 w:rsidR="00513C6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инициативе гарантирующего поставщика следственными органами Краснодара возбуждено уголовное дело на </w:t>
            </w:r>
            <w:r w:rsidR="004F4EF6">
              <w:rPr>
                <w:sz w:val="28"/>
                <w:szCs w:val="28"/>
              </w:rPr>
              <w:t>представителей</w:t>
            </w:r>
            <w:r>
              <w:rPr>
                <w:sz w:val="28"/>
                <w:szCs w:val="28"/>
              </w:rPr>
              <w:t xml:space="preserve"> управляющей организации </w:t>
            </w:r>
            <w:r w:rsidR="001A6BEA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«Этажи». Их обвиняют в причинении ресурсоснабжающей компании особо крупного ущерба на сумму более 6,8 млн руб</w:t>
            </w:r>
            <w:r w:rsidR="006D06C5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 xml:space="preserve">. </w:t>
            </w:r>
          </w:p>
          <w:p w:rsidR="00CF27EB" w:rsidRDefault="00CF27EB" w:rsidP="00CF27E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Установлено, что жильцы многоквартирных домов перечисляли управляющей компании деньги за электричество, однако</w:t>
            </w:r>
            <w:r w:rsidR="008F27AC">
              <w:rPr>
                <w:sz w:val="28"/>
                <w:szCs w:val="28"/>
              </w:rPr>
              <w:t xml:space="preserve"> эти</w:t>
            </w:r>
            <w:r>
              <w:rPr>
                <w:sz w:val="28"/>
                <w:szCs w:val="28"/>
              </w:rPr>
              <w:t xml:space="preserve"> </w:t>
            </w:r>
            <w:r w:rsidR="008F27AC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не </w:t>
            </w:r>
            <w:r w:rsidR="008F27AC">
              <w:rPr>
                <w:sz w:val="28"/>
                <w:szCs w:val="28"/>
              </w:rPr>
              <w:t>поступали на счет</w:t>
            </w:r>
            <w:r>
              <w:rPr>
                <w:sz w:val="28"/>
                <w:szCs w:val="28"/>
              </w:rPr>
              <w:t xml:space="preserve"> энергосбытовой компании. </w:t>
            </w:r>
          </w:p>
          <w:p w:rsidR="008F27AC" w:rsidRDefault="00CF27EB" w:rsidP="004F4EF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«ТНС энерго Кубань» </w:t>
            </w:r>
            <w:r w:rsidR="008F27AC">
              <w:rPr>
                <w:sz w:val="28"/>
                <w:szCs w:val="28"/>
              </w:rPr>
              <w:t xml:space="preserve">регулярно проводит совместную работу с правоохранительными органами по привлечению к ответственности </w:t>
            </w:r>
            <w:r w:rsidR="00D015BB" w:rsidRPr="00F06445">
              <w:rPr>
                <w:sz w:val="28"/>
                <w:szCs w:val="28"/>
              </w:rPr>
              <w:t>руководителей управляющих организаций</w:t>
            </w:r>
            <w:r w:rsidR="008F27AC" w:rsidRPr="00F06445">
              <w:rPr>
                <w:sz w:val="28"/>
                <w:szCs w:val="28"/>
              </w:rPr>
              <w:t>,</w:t>
            </w:r>
            <w:r w:rsidR="008F27AC">
              <w:rPr>
                <w:sz w:val="28"/>
                <w:szCs w:val="28"/>
              </w:rPr>
              <w:t xml:space="preserve"> которые не исполняют в полной мере обязательства перед гарантирующим поставщиком. </w:t>
            </w:r>
            <w:r w:rsidR="008419AF" w:rsidRPr="008419AF">
              <w:rPr>
                <w:sz w:val="28"/>
                <w:szCs w:val="28"/>
              </w:rPr>
              <w:t>С начала 2023 год</w:t>
            </w:r>
            <w:r w:rsidR="006D06C5" w:rsidRPr="006252C3">
              <w:rPr>
                <w:sz w:val="28"/>
                <w:szCs w:val="28"/>
              </w:rPr>
              <w:t>а</w:t>
            </w:r>
            <w:r w:rsidR="008419AF" w:rsidRPr="008419AF">
              <w:rPr>
                <w:sz w:val="28"/>
                <w:szCs w:val="28"/>
              </w:rPr>
              <w:t xml:space="preserve"> было</w:t>
            </w:r>
            <w:r w:rsidR="004F4EF6" w:rsidRPr="008419AF">
              <w:rPr>
                <w:sz w:val="28"/>
                <w:szCs w:val="28"/>
              </w:rPr>
              <w:t xml:space="preserve"> </w:t>
            </w:r>
            <w:r w:rsidR="008419AF" w:rsidRPr="008419AF">
              <w:rPr>
                <w:sz w:val="28"/>
                <w:szCs w:val="28"/>
              </w:rPr>
              <w:t>возбуждено 12 уголовных дел</w:t>
            </w:r>
            <w:r w:rsidR="00D015BB" w:rsidRPr="008419AF">
              <w:rPr>
                <w:sz w:val="28"/>
                <w:szCs w:val="28"/>
              </w:rPr>
              <w:t xml:space="preserve"> на общую сумму </w:t>
            </w:r>
            <w:r w:rsidR="008419AF" w:rsidRPr="008419AF">
              <w:rPr>
                <w:sz w:val="28"/>
                <w:szCs w:val="28"/>
              </w:rPr>
              <w:t>100</w:t>
            </w:r>
            <w:r w:rsidR="00D015BB" w:rsidRPr="008419AF">
              <w:rPr>
                <w:sz w:val="28"/>
                <w:szCs w:val="28"/>
              </w:rPr>
              <w:t xml:space="preserve"> </w:t>
            </w:r>
            <w:r w:rsidR="004F4EF6" w:rsidRPr="008419AF">
              <w:rPr>
                <w:sz w:val="28"/>
                <w:szCs w:val="28"/>
              </w:rPr>
              <w:t>млн</w:t>
            </w:r>
            <w:r w:rsidR="004F4EF6" w:rsidRPr="008419AF">
              <w:rPr>
                <w:i/>
                <w:sz w:val="28"/>
                <w:szCs w:val="28"/>
              </w:rPr>
              <w:t xml:space="preserve"> </w:t>
            </w:r>
            <w:r w:rsidR="004F4EF6" w:rsidRPr="008419AF">
              <w:rPr>
                <w:sz w:val="28"/>
                <w:szCs w:val="28"/>
              </w:rPr>
              <w:t>руб</w:t>
            </w:r>
            <w:r w:rsidR="006D06C5">
              <w:rPr>
                <w:sz w:val="28"/>
                <w:szCs w:val="28"/>
              </w:rPr>
              <w:t>лей</w:t>
            </w:r>
            <w:r w:rsidR="004F4EF6" w:rsidRPr="008419AF">
              <w:rPr>
                <w:sz w:val="28"/>
                <w:szCs w:val="28"/>
              </w:rPr>
              <w:t>.</w:t>
            </w:r>
          </w:p>
          <w:p w:rsidR="004F4EF6" w:rsidRPr="00A12D9C" w:rsidRDefault="004F4EF6" w:rsidP="00D861F3">
            <w:pPr>
              <w:ind w:firstLine="567"/>
              <w:jc w:val="both"/>
              <w:rPr>
                <w:sz w:val="28"/>
                <w:szCs w:val="28"/>
              </w:rPr>
            </w:pPr>
            <w:r w:rsidRPr="00617AA2">
              <w:rPr>
                <w:sz w:val="28"/>
                <w:szCs w:val="28"/>
              </w:rPr>
              <w:t>Недобросовестное исполнение коммунальных услуг</w:t>
            </w:r>
            <w:r w:rsidR="00D015BB">
              <w:rPr>
                <w:sz w:val="28"/>
                <w:szCs w:val="28"/>
              </w:rPr>
              <w:t xml:space="preserve"> негативно</w:t>
            </w:r>
            <w:r w:rsidRPr="00617AA2">
              <w:rPr>
                <w:sz w:val="28"/>
                <w:szCs w:val="28"/>
              </w:rPr>
              <w:t xml:space="preserve"> влияет на качество жизни </w:t>
            </w:r>
            <w:r w:rsidR="00D015BB">
              <w:rPr>
                <w:sz w:val="28"/>
                <w:szCs w:val="28"/>
              </w:rPr>
              <w:t>потребителей</w:t>
            </w:r>
            <w:r w:rsidRPr="00617AA2">
              <w:rPr>
                <w:sz w:val="28"/>
                <w:szCs w:val="28"/>
              </w:rPr>
              <w:t xml:space="preserve">. Нецелевое использование средств </w:t>
            </w:r>
            <w:r w:rsidR="00D015BB">
              <w:rPr>
                <w:sz w:val="28"/>
                <w:szCs w:val="28"/>
              </w:rPr>
              <w:t>влечет за собой</w:t>
            </w:r>
            <w:r w:rsidRPr="00617AA2">
              <w:rPr>
                <w:sz w:val="28"/>
                <w:szCs w:val="28"/>
              </w:rPr>
              <w:t xml:space="preserve"> изношенност</w:t>
            </w:r>
            <w:r w:rsidR="00D015BB">
              <w:rPr>
                <w:sz w:val="28"/>
                <w:szCs w:val="28"/>
              </w:rPr>
              <w:t>ь внутридомовых сетей,</w:t>
            </w:r>
            <w:r w:rsidRPr="00617AA2">
              <w:rPr>
                <w:sz w:val="28"/>
                <w:szCs w:val="28"/>
              </w:rPr>
              <w:t> повыш</w:t>
            </w:r>
            <w:r w:rsidR="00D015BB">
              <w:rPr>
                <w:sz w:val="28"/>
                <w:szCs w:val="28"/>
              </w:rPr>
              <w:t>ая</w:t>
            </w:r>
            <w:r w:rsidRPr="00617AA2">
              <w:rPr>
                <w:sz w:val="28"/>
                <w:szCs w:val="28"/>
              </w:rPr>
              <w:t xml:space="preserve"> риск аварийн</w:t>
            </w:r>
            <w:r w:rsidR="00D015BB">
              <w:rPr>
                <w:sz w:val="28"/>
                <w:szCs w:val="28"/>
              </w:rPr>
              <w:t>ой</w:t>
            </w:r>
            <w:r w:rsidRPr="00617AA2">
              <w:rPr>
                <w:sz w:val="28"/>
                <w:szCs w:val="28"/>
              </w:rPr>
              <w:t xml:space="preserve"> ситуаци</w:t>
            </w:r>
            <w:r w:rsidR="00D015BB">
              <w:rPr>
                <w:sz w:val="28"/>
                <w:szCs w:val="28"/>
              </w:rPr>
              <w:t>и</w:t>
            </w:r>
            <w:r w:rsidRPr="00617AA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Гарантирующий поставщик призывает граждан быть внимательными при выборе управляющей компании и регулярно уточнять сведения о ее задолженности за энергоресурс на </w:t>
            </w:r>
            <w:hyperlink r:id="rId9" w:history="1">
              <w:r>
                <w:rPr>
                  <w:rStyle w:val="aa"/>
                  <w:sz w:val="28"/>
                  <w:szCs w:val="28"/>
                </w:rPr>
                <w:t>сайте kuban.tns-e.ru</w:t>
              </w:r>
            </w:hyperlink>
            <w:r>
              <w:rPr>
                <w:sz w:val="28"/>
                <w:szCs w:val="28"/>
              </w:rPr>
              <w:t>.</w:t>
            </w:r>
            <w:r w:rsidR="00D861F3">
              <w:rPr>
                <w:sz w:val="28"/>
                <w:szCs w:val="28"/>
              </w:rPr>
              <w:t xml:space="preserve"> </w:t>
            </w:r>
          </w:p>
          <w:p w:rsidR="000C09D0" w:rsidRPr="00374595" w:rsidRDefault="000C09D0" w:rsidP="000C09D0">
            <w:pPr>
              <w:jc w:val="both"/>
              <w:rPr>
                <w:sz w:val="28"/>
                <w:szCs w:val="28"/>
              </w:rPr>
            </w:pPr>
          </w:p>
          <w:p w:rsidR="00042FC3" w:rsidRPr="00CF27EB" w:rsidRDefault="003E2637" w:rsidP="00042FC3">
            <w:pPr>
              <w:jc w:val="both"/>
            </w:pPr>
            <w:bookmarkStart w:id="0" w:name="_GoBack"/>
            <w:bookmarkEnd w:id="0"/>
            <w:r>
              <w:t xml:space="preserve">                                                                                </w:t>
            </w:r>
          </w:p>
          <w:p w:rsidR="005B21AF" w:rsidRPr="00955D05" w:rsidRDefault="005B21AF" w:rsidP="00955D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54A6D" w:rsidRPr="00B24063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B24063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B24063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B24063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B24063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B24063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0D" w:rsidRDefault="0011590D">
      <w:r>
        <w:separator/>
      </w:r>
    </w:p>
  </w:endnote>
  <w:endnote w:type="continuationSeparator" w:id="0">
    <w:p w:rsidR="0011590D" w:rsidRDefault="0011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0D" w:rsidRDefault="0011590D">
      <w:r>
        <w:separator/>
      </w:r>
    </w:p>
  </w:footnote>
  <w:footnote w:type="continuationSeparator" w:id="0">
    <w:p w:rsidR="0011590D" w:rsidRDefault="0011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06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23C18"/>
    <w:rsid w:val="00030BA2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A2DF3"/>
    <w:rsid w:val="000B5DF1"/>
    <w:rsid w:val="000B5FDD"/>
    <w:rsid w:val="000B6DD4"/>
    <w:rsid w:val="000C03F8"/>
    <w:rsid w:val="000C0541"/>
    <w:rsid w:val="000C09D0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1590D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40AF"/>
    <w:rsid w:val="00196E08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80E"/>
    <w:rsid w:val="003D6013"/>
    <w:rsid w:val="003D7B1A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2C94"/>
    <w:rsid w:val="004763B7"/>
    <w:rsid w:val="00477A22"/>
    <w:rsid w:val="00480E54"/>
    <w:rsid w:val="004824D9"/>
    <w:rsid w:val="00484253"/>
    <w:rsid w:val="0049058E"/>
    <w:rsid w:val="00490604"/>
    <w:rsid w:val="00495E30"/>
    <w:rsid w:val="004976E7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E6978"/>
    <w:rsid w:val="004F26D9"/>
    <w:rsid w:val="004F4890"/>
    <w:rsid w:val="004F4EF6"/>
    <w:rsid w:val="004F65F4"/>
    <w:rsid w:val="005000DC"/>
    <w:rsid w:val="00503FE5"/>
    <w:rsid w:val="00506007"/>
    <w:rsid w:val="0050697D"/>
    <w:rsid w:val="00507D9A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20055"/>
    <w:rsid w:val="00621835"/>
    <w:rsid w:val="006252C3"/>
    <w:rsid w:val="00625718"/>
    <w:rsid w:val="006263FC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50AA7"/>
    <w:rsid w:val="008675A9"/>
    <w:rsid w:val="00881D33"/>
    <w:rsid w:val="00882062"/>
    <w:rsid w:val="00883BC7"/>
    <w:rsid w:val="008851EC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A59"/>
    <w:rsid w:val="008D3D09"/>
    <w:rsid w:val="008D49D6"/>
    <w:rsid w:val="008D5FC6"/>
    <w:rsid w:val="008D731F"/>
    <w:rsid w:val="008E3305"/>
    <w:rsid w:val="008E4121"/>
    <w:rsid w:val="008E498D"/>
    <w:rsid w:val="008F27AC"/>
    <w:rsid w:val="0090711A"/>
    <w:rsid w:val="00912D63"/>
    <w:rsid w:val="00914E5C"/>
    <w:rsid w:val="0091683E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E49"/>
    <w:rsid w:val="0096592F"/>
    <w:rsid w:val="00965C3B"/>
    <w:rsid w:val="0096606A"/>
    <w:rsid w:val="00966E14"/>
    <w:rsid w:val="00976B8A"/>
    <w:rsid w:val="009804CD"/>
    <w:rsid w:val="0098110C"/>
    <w:rsid w:val="00994C50"/>
    <w:rsid w:val="009958BC"/>
    <w:rsid w:val="00995E70"/>
    <w:rsid w:val="009A33E7"/>
    <w:rsid w:val="009B0F7C"/>
    <w:rsid w:val="009B395D"/>
    <w:rsid w:val="009B5B97"/>
    <w:rsid w:val="009C13B9"/>
    <w:rsid w:val="009C2EEF"/>
    <w:rsid w:val="009D1DD3"/>
    <w:rsid w:val="009D3A4A"/>
    <w:rsid w:val="009D4412"/>
    <w:rsid w:val="009D6C32"/>
    <w:rsid w:val="009E01FB"/>
    <w:rsid w:val="009E7671"/>
    <w:rsid w:val="009F2A3D"/>
    <w:rsid w:val="009F30B5"/>
    <w:rsid w:val="00A04CC0"/>
    <w:rsid w:val="00A1071B"/>
    <w:rsid w:val="00A12929"/>
    <w:rsid w:val="00A12D9C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3FE6"/>
    <w:rsid w:val="00BF67AD"/>
    <w:rsid w:val="00C00277"/>
    <w:rsid w:val="00C046E4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2556"/>
    <w:rsid w:val="00C876C2"/>
    <w:rsid w:val="00C93CC3"/>
    <w:rsid w:val="00CA0D09"/>
    <w:rsid w:val="00CA0D7B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126BA"/>
    <w:rsid w:val="00E20CC6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B07D3"/>
    <w:rsid w:val="00EB12CF"/>
    <w:rsid w:val="00EB382B"/>
    <w:rsid w:val="00EB4903"/>
    <w:rsid w:val="00EB4E17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D81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3627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ls-inf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668750-9A42-48D6-8B42-789D0077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3</cp:revision>
  <cp:lastPrinted>2023-05-23T12:40:00Z</cp:lastPrinted>
  <dcterms:created xsi:type="dcterms:W3CDTF">2023-10-10T07:15:00Z</dcterms:created>
  <dcterms:modified xsi:type="dcterms:W3CDTF">2023-10-10T07:16:00Z</dcterms:modified>
</cp:coreProperties>
</file>