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BD" w:rsidRDefault="005F0CBD" w:rsidP="00A07428">
      <w:pPr>
        <w:pStyle w:val="a4"/>
        <w:rPr>
          <w:rFonts w:eastAsia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771D4" wp14:editId="5726A110">
                <wp:simplePos x="0" y="0"/>
                <wp:positionH relativeFrom="margin">
                  <wp:posOffset>4082415</wp:posOffset>
                </wp:positionH>
                <wp:positionV relativeFrom="paragraph">
                  <wp:posOffset>80010</wp:posOffset>
                </wp:positionV>
                <wp:extent cx="2157095" cy="1390650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CBD" w:rsidRDefault="005F0CBD" w:rsidP="00A07428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Филиал ПАО «МРСК Центра» - «Тамбовэнерго»</w:t>
                            </w:r>
                          </w:p>
                          <w:p w:rsidR="005F0CBD" w:rsidRDefault="005F0CBD" w:rsidP="00A07428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Моршанское</w:t>
                            </w:r>
                            <w:proofErr w:type="spellEnd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 шоссе, д.23, г. Тамбов, Россия, 392680</w:t>
                            </w:r>
                          </w:p>
                          <w:p w:rsidR="005F0CBD" w:rsidRDefault="005F0CBD" w:rsidP="00A07428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тел.: +7 (4752) 56-96-85, факс: +7 (4752) 56-94-48,</w:t>
                            </w:r>
                          </w:p>
                          <w:p w:rsidR="005F0CBD" w:rsidRDefault="005F0CBD" w:rsidP="00A07428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 tambov@mrsk-1.ru, http://www.mrsk-1.ru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771D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21.45pt;margin-top:6.3pt;width:169.8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" filled="f" stroked="f">
                <v:textbox>
                  <w:txbxContent>
                    <w:p w:rsidR="005F0CBD" w:rsidRDefault="005F0CBD" w:rsidP="00A07428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Филиал ПАО «МРСК Центра» - «Тамбовэнерго»</w:t>
                      </w:r>
                    </w:p>
                    <w:p w:rsidR="005F0CBD" w:rsidRDefault="005F0CBD" w:rsidP="00A07428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Моршанское</w:t>
                      </w:r>
                      <w:proofErr w:type="spellEnd"/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 шоссе, д.23, г. Тамбов, Россия, 392680</w:t>
                      </w:r>
                    </w:p>
                    <w:p w:rsidR="005F0CBD" w:rsidRDefault="005F0CBD" w:rsidP="00A07428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тел.: +7 (4752) 56-96-85, факс: +7 (4752) 56-94-48,</w:t>
                      </w:r>
                    </w:p>
                    <w:p w:rsidR="005F0CBD" w:rsidRDefault="005F0CBD" w:rsidP="00A07428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e-mail</w:t>
                      </w:r>
                      <w:proofErr w:type="gramEnd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 tambov@mrsk-1.ru, http://www.mrsk-1.ru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Calibri"/>
          <w:noProof/>
        </w:rPr>
        <w:drawing>
          <wp:inline distT="0" distB="0" distL="0" distR="0" wp14:anchorId="7FFDD4DA" wp14:editId="47DB9A91">
            <wp:extent cx="16287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</w:rPr>
        <w:t xml:space="preserve">                </w:t>
      </w:r>
      <w:r>
        <w:rPr>
          <w:rFonts w:eastAsia="Calibri"/>
          <w:noProof/>
        </w:rPr>
        <w:drawing>
          <wp:inline distT="0" distB="0" distL="0" distR="0" wp14:anchorId="4EC591C1" wp14:editId="0C75743B">
            <wp:extent cx="14763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CBD" w:rsidRDefault="005F0CBD" w:rsidP="00B4279A">
      <w:pPr>
        <w:spacing w:line="252" w:lineRule="auto"/>
        <w:rPr>
          <w:rFonts w:eastAsia="Calibri"/>
          <w:sz w:val="16"/>
          <w:szCs w:val="16"/>
        </w:rPr>
      </w:pPr>
    </w:p>
    <w:p w:rsidR="005F0CBD" w:rsidRDefault="005F0CBD" w:rsidP="00B4279A">
      <w:pPr>
        <w:spacing w:line="252" w:lineRule="auto"/>
        <w:rPr>
          <w:rFonts w:eastAsia="Calibri"/>
          <w:sz w:val="16"/>
          <w:szCs w:val="16"/>
        </w:rPr>
      </w:pPr>
    </w:p>
    <w:p w:rsidR="005F0CBD" w:rsidRDefault="005F0CBD" w:rsidP="00B4279A">
      <w:pPr>
        <w:spacing w:line="252" w:lineRule="auto"/>
        <w:jc w:val="center"/>
        <w:rPr>
          <w:rFonts w:ascii="Helios" w:eastAsia="Calibri" w:hAnsi="Helios"/>
          <w:sz w:val="28"/>
          <w:szCs w:val="28"/>
        </w:rPr>
      </w:pPr>
      <w:r>
        <w:rPr>
          <w:rFonts w:ascii="Helios" w:eastAsia="Calibri" w:hAnsi="Helios"/>
          <w:sz w:val="28"/>
          <w:szCs w:val="28"/>
        </w:rPr>
        <w:t xml:space="preserve">                                </w:t>
      </w:r>
    </w:p>
    <w:p w:rsidR="005F0CBD" w:rsidRDefault="005F0CBD" w:rsidP="00B4279A">
      <w:pPr>
        <w:spacing w:line="252" w:lineRule="auto"/>
        <w:jc w:val="center"/>
        <w:rPr>
          <w:rFonts w:ascii="Helios" w:eastAsia="Calibri" w:hAnsi="Helios"/>
          <w:sz w:val="28"/>
          <w:szCs w:val="28"/>
        </w:rPr>
      </w:pPr>
    </w:p>
    <w:p w:rsidR="005F0CBD" w:rsidRDefault="005F0CBD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5F0CBD" w:rsidRDefault="005F0CBD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5F0CBD" w:rsidRDefault="005F0CBD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5F0CBD" w:rsidRDefault="005F0CBD" w:rsidP="00B4279A">
      <w:pPr>
        <w:spacing w:line="252" w:lineRule="auto"/>
        <w:jc w:val="center"/>
        <w:rPr>
          <w:rFonts w:ascii="Helios" w:eastAsia="Calibri" w:hAnsi="Helios"/>
          <w:sz w:val="28"/>
          <w:szCs w:val="28"/>
        </w:rPr>
      </w:pPr>
      <w:r>
        <w:rPr>
          <w:rFonts w:ascii="Helios" w:eastAsia="Calibri" w:hAnsi="Helios"/>
          <w:sz w:val="28"/>
          <w:szCs w:val="28"/>
        </w:rPr>
        <w:t>ПРЕСС-РЕЛИЗ</w:t>
      </w:r>
    </w:p>
    <w:p w:rsidR="005F0CBD" w:rsidRDefault="005F0CBD" w:rsidP="00B4279A">
      <w:pPr>
        <w:spacing w:line="252" w:lineRule="auto"/>
        <w:jc w:val="center"/>
        <w:rPr>
          <w:rFonts w:ascii="Helios" w:eastAsia="Calibri" w:hAnsi="Helios"/>
          <w:sz w:val="28"/>
          <w:szCs w:val="28"/>
        </w:rPr>
      </w:pPr>
    </w:p>
    <w:p w:rsidR="005F0CBD" w:rsidRPr="00A07428" w:rsidRDefault="005F0CBD" w:rsidP="00B4279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eastAsia="Calibri" w:hAnsi="Times New Roman"/>
        </w:rPr>
      </w:pPr>
      <w:r w:rsidRPr="00A07428">
        <w:rPr>
          <w:rFonts w:ascii="Times New Roman" w:eastAsia="Calibri" w:hAnsi="Times New Roman"/>
          <w:color w:val="000000"/>
        </w:rPr>
        <w:t>г.  Тамбов</w:t>
      </w:r>
      <w:r w:rsidRPr="00A07428">
        <w:rPr>
          <w:rFonts w:ascii="Times New Roman" w:eastAsia="Calibri" w:hAnsi="Times New Roman"/>
          <w:color w:val="000000"/>
        </w:rPr>
        <w:tab/>
      </w:r>
      <w:r>
        <w:rPr>
          <w:rFonts w:eastAsia="Calibri"/>
          <w:color w:val="000000"/>
        </w:rPr>
        <w:t xml:space="preserve">                                                       </w:t>
      </w:r>
      <w:r w:rsidRPr="00A07428">
        <w:rPr>
          <w:rFonts w:ascii="Times New Roman" w:eastAsia="Calibri" w:hAnsi="Times New Roman"/>
          <w:color w:val="000000"/>
        </w:rPr>
        <w:t xml:space="preserve">                                </w:t>
      </w:r>
      <w:r>
        <w:rPr>
          <w:rFonts w:ascii="Times New Roman" w:eastAsia="Calibri" w:hAnsi="Times New Roman"/>
          <w:color w:val="000000"/>
        </w:rPr>
        <w:t>15 апреля</w:t>
      </w:r>
      <w:r w:rsidRPr="00A07428">
        <w:rPr>
          <w:rFonts w:ascii="Times New Roman" w:eastAsia="Calibri" w:hAnsi="Times New Roman"/>
          <w:color w:val="000000"/>
        </w:rPr>
        <w:t xml:space="preserve"> </w:t>
      </w:r>
      <w:r w:rsidRPr="00A07428">
        <w:rPr>
          <w:rFonts w:ascii="Times New Roman" w:eastAsia="Calibri" w:hAnsi="Times New Roman"/>
        </w:rPr>
        <w:t>2019 года</w:t>
      </w:r>
    </w:p>
    <w:p w:rsidR="005F0CBD" w:rsidRPr="00267986" w:rsidRDefault="005F0CBD" w:rsidP="005F0C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Тамбовэнерго напоминает: э</w:t>
      </w:r>
      <w:r w:rsidRPr="00267986">
        <w:rPr>
          <w:rFonts w:ascii="Times New Roman" w:hAnsi="Times New Roman" w:cs="Times New Roman"/>
          <w:b/>
          <w:sz w:val="28"/>
          <w:szCs w:val="28"/>
        </w:rPr>
        <w:t>лектросчетчик позвол</w:t>
      </w:r>
      <w:r>
        <w:rPr>
          <w:rFonts w:ascii="Times New Roman" w:hAnsi="Times New Roman" w:cs="Times New Roman"/>
          <w:b/>
          <w:sz w:val="28"/>
          <w:szCs w:val="28"/>
        </w:rPr>
        <w:t xml:space="preserve">яет </w:t>
      </w:r>
      <w:r w:rsidRPr="00267986">
        <w:rPr>
          <w:rFonts w:ascii="Times New Roman" w:hAnsi="Times New Roman" w:cs="Times New Roman"/>
          <w:b/>
          <w:sz w:val="28"/>
          <w:szCs w:val="28"/>
        </w:rPr>
        <w:t>экономить на оплате электроэнергии</w:t>
      </w:r>
    </w:p>
    <w:p w:rsidR="005F0CBD" w:rsidRPr="00210C0F" w:rsidRDefault="005F0CBD" w:rsidP="005F0C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549">
        <w:rPr>
          <w:rFonts w:ascii="Times New Roman" w:hAnsi="Times New Roman" w:cs="Times New Roman"/>
          <w:sz w:val="28"/>
          <w:szCs w:val="28"/>
        </w:rPr>
        <w:t xml:space="preserve">Филиал ПАО «МРСК Центра» - «Тамбовэнерго» обращает внимание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703549">
        <w:rPr>
          <w:rFonts w:ascii="Times New Roman" w:hAnsi="Times New Roman" w:cs="Times New Roman"/>
          <w:sz w:val="28"/>
          <w:szCs w:val="28"/>
        </w:rPr>
        <w:t xml:space="preserve"> на важность установки индивидуальных приборов учета (ИПУ) электроэнергии. </w:t>
      </w:r>
      <w:r w:rsidRPr="00210C0F">
        <w:rPr>
          <w:rFonts w:ascii="Times New Roman" w:hAnsi="Times New Roman" w:cs="Times New Roman"/>
          <w:sz w:val="28"/>
          <w:szCs w:val="28"/>
        </w:rPr>
        <w:t>В случае отсутствия ИПУ энергосбытовая компания определяет объем потребления электроэнергии путем применения расчетных способов. Таким образом, отсутствие индивидуального прибора учета электроэнергии повлечет за собой дополнительные расходы.</w:t>
      </w:r>
    </w:p>
    <w:p w:rsidR="005F0CBD" w:rsidRDefault="005F0CBD" w:rsidP="005F0CB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3549">
        <w:rPr>
          <w:rFonts w:ascii="Times New Roman" w:hAnsi="Times New Roman" w:cs="Times New Roman"/>
          <w:sz w:val="28"/>
          <w:szCs w:val="28"/>
        </w:rPr>
        <w:t xml:space="preserve">Согласно действующему российскому законодательству, расчеты за энергетические ресурсы должны осуществляться на основании данных об их количественном значении, определенных приборами учета. В соответствии с Постановлением Правительства Российской Федерации № 442 от 4 мая 2012 года </w:t>
      </w:r>
      <w:r w:rsidRPr="00703549">
        <w:rPr>
          <w:rFonts w:ascii="Times New Roman" w:hAnsi="Times New Roman"/>
          <w:sz w:val="28"/>
          <w:szCs w:val="28"/>
          <w:lang w:eastAsia="ru-RU"/>
        </w:rPr>
        <w:t xml:space="preserve">«О функционировании розничных рынков электрической энергии, полном и (или) частичном ограничении режима потребления электрической энергии» именно на потребителей возложена </w:t>
      </w:r>
      <w:r w:rsidRPr="00703549">
        <w:rPr>
          <w:rFonts w:ascii="Times New Roman" w:hAnsi="Times New Roman" w:cs="Times New Roman"/>
          <w:sz w:val="28"/>
          <w:szCs w:val="28"/>
        </w:rPr>
        <w:t>обязанность устанавливать приборы учета электроэнергии и содержать их в исправном состоянии.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CBD" w:rsidRDefault="005F0CBD" w:rsidP="005F0C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434">
        <w:rPr>
          <w:rFonts w:ascii="Times New Roman" w:hAnsi="Times New Roman" w:cs="Times New Roman"/>
          <w:sz w:val="28"/>
          <w:szCs w:val="28"/>
        </w:rPr>
        <w:t xml:space="preserve">Тамбовэнерго рекомендует своим потребителям произвести установку электросчетчиков и оплачивать электроэнергию только за реальное </w:t>
      </w:r>
      <w:r w:rsidRPr="006A1434">
        <w:rPr>
          <w:rFonts w:ascii="Times New Roman" w:hAnsi="Times New Roman" w:cs="Times New Roman"/>
          <w:sz w:val="28"/>
          <w:szCs w:val="28"/>
        </w:rPr>
        <w:lastRenderedPageBreak/>
        <w:t>энергопотребление. Специалисты Тамбовэнерго осуществляют установку либо замену электросчетчика. Для этого потребителю необходимо оставить соответствующую заявку любым удобным для него способом: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434">
        <w:rPr>
          <w:rFonts w:ascii="Times New Roman" w:hAnsi="Times New Roman" w:cs="Times New Roman"/>
          <w:sz w:val="28"/>
          <w:szCs w:val="28"/>
        </w:rPr>
        <w:t>через форму обратной связи на сайте МРСК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434">
        <w:rPr>
          <w:rFonts w:ascii="Times New Roman" w:hAnsi="Times New Roman" w:cs="Times New Roman"/>
          <w:sz w:val="28"/>
          <w:szCs w:val="28"/>
        </w:rPr>
        <w:t xml:space="preserve">www.mrsk-1.ru, по телефону </w:t>
      </w:r>
      <w:r>
        <w:rPr>
          <w:rFonts w:ascii="Times New Roman" w:hAnsi="Times New Roman" w:cs="Times New Roman"/>
          <w:sz w:val="28"/>
          <w:szCs w:val="28"/>
        </w:rPr>
        <w:t xml:space="preserve">единого контактного центра </w:t>
      </w:r>
      <w:r w:rsidRPr="006A1434">
        <w:rPr>
          <w:rFonts w:ascii="Times New Roman" w:hAnsi="Times New Roman" w:cs="Times New Roman"/>
          <w:sz w:val="28"/>
          <w:szCs w:val="28"/>
        </w:rPr>
        <w:t>8-800-50-50-115</w:t>
      </w:r>
      <w:r>
        <w:rPr>
          <w:rFonts w:ascii="Times New Roman" w:hAnsi="Times New Roman" w:cs="Times New Roman"/>
          <w:sz w:val="28"/>
          <w:szCs w:val="28"/>
        </w:rPr>
        <w:t xml:space="preserve"> (звонок бесплатный) или </w:t>
      </w:r>
      <w:r w:rsidRPr="006A1434">
        <w:rPr>
          <w:rFonts w:ascii="Times New Roman" w:hAnsi="Times New Roman" w:cs="Times New Roman"/>
          <w:sz w:val="28"/>
          <w:szCs w:val="28"/>
        </w:rPr>
        <w:t xml:space="preserve">обратившись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6A1434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A1434">
        <w:rPr>
          <w:rFonts w:ascii="Times New Roman" w:hAnsi="Times New Roman" w:cs="Times New Roman"/>
          <w:sz w:val="28"/>
          <w:szCs w:val="28"/>
        </w:rPr>
        <w:t xml:space="preserve"> по работе с потребителями в районах электрических сетей.</w:t>
      </w:r>
    </w:p>
    <w:p w:rsidR="005F0CBD" w:rsidRDefault="005F0CBD" w:rsidP="00E82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F0CBD" w:rsidRDefault="005F0CBD" w:rsidP="00E82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F0CBD" w:rsidRDefault="005F0CBD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>Для справки:</w:t>
      </w:r>
    </w:p>
    <w:p w:rsidR="005F0CBD" w:rsidRPr="00A07428" w:rsidRDefault="005F0CBD" w:rsidP="001D2C70">
      <w:pPr>
        <w:spacing w:line="240" w:lineRule="auto"/>
        <w:contextualSpacing/>
        <w:rPr>
          <w:rFonts w:eastAsia="Calibri"/>
          <w:bCs/>
          <w:i/>
          <w:iCs/>
          <w:sz w:val="16"/>
          <w:szCs w:val="16"/>
        </w:rPr>
      </w:pPr>
      <w:r w:rsidRPr="00A07428">
        <w:rPr>
          <w:rFonts w:eastAsia="Calibri"/>
          <w:b/>
          <w:bCs/>
          <w:i/>
          <w:iCs/>
          <w:sz w:val="16"/>
          <w:szCs w:val="16"/>
        </w:rPr>
        <w:t xml:space="preserve">Компания «Россети» </w:t>
      </w:r>
      <w:r w:rsidRPr="00A07428">
        <w:rPr>
          <w:rFonts w:eastAsia="Calibri"/>
          <w:bCs/>
          <w:i/>
          <w:iCs/>
          <w:sz w:val="16"/>
          <w:szCs w:val="16"/>
        </w:rPr>
        <w:t xml:space="preserve">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</w:t>
      </w:r>
      <w:proofErr w:type="spellStart"/>
      <w:r w:rsidRPr="00A07428">
        <w:rPr>
          <w:rFonts w:eastAsia="Calibri"/>
          <w:bCs/>
          <w:i/>
          <w:iCs/>
          <w:sz w:val="16"/>
          <w:szCs w:val="16"/>
        </w:rPr>
        <w:t>кВт·ч</w:t>
      </w:r>
      <w:proofErr w:type="spellEnd"/>
      <w:r w:rsidRPr="00A07428">
        <w:rPr>
          <w:rFonts w:eastAsia="Calibri"/>
          <w:bCs/>
          <w:i/>
          <w:iCs/>
          <w:sz w:val="16"/>
          <w:szCs w:val="16"/>
        </w:rPr>
        <w:t>. Численность персонала группы компаний «Россети» - 220 тыс. человек. 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5F0CBD" w:rsidRDefault="005F0CBD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b/>
          <w:bCs/>
          <w:i/>
          <w:iCs/>
          <w:sz w:val="16"/>
          <w:szCs w:val="16"/>
        </w:rPr>
        <w:t xml:space="preserve">Публичное акционерное общество «Межрегиональная распределительная сетевая компания Центра» (ПАО «МРСК Центра») </w:t>
      </w:r>
      <w:r>
        <w:rPr>
          <w:rFonts w:ascii="Times New Roman" w:eastAsia="Calibri" w:hAnsi="Times New Roman"/>
          <w:i/>
          <w:iCs/>
          <w:sz w:val="16"/>
          <w:szCs w:val="16"/>
        </w:rPr>
        <w:t xml:space="preserve">- крупнейшая в Российской Федерации межрегиональная распределительная сетевая компания, контрольным пакетом акций которой (50,23%) владеет ПАО «Россети», осуществляющее управление МРСК/РСК корпоративными методами (через Советы директоров). Контролирующим акционером является государство, владеющее 61,7% в УК ПАО «Российские сети». </w:t>
      </w:r>
      <w:r w:rsidRPr="001D2C70">
        <w:rPr>
          <w:rFonts w:ascii="Times New Roman" w:eastAsia="Calibri" w:hAnsi="Times New Roman"/>
          <w:i/>
          <w:iCs/>
          <w:sz w:val="16"/>
          <w:szCs w:val="16"/>
        </w:rPr>
        <w:t xml:space="preserve">Основным акционером ПАО «МРСК Центра», кроме ПАО «Россети», является компания </w:t>
      </w:r>
      <w:proofErr w:type="spellStart"/>
      <w:r w:rsidRPr="001D2C70">
        <w:rPr>
          <w:rFonts w:ascii="Times New Roman" w:eastAsia="Calibri" w:hAnsi="Times New Roman"/>
          <w:i/>
          <w:iCs/>
          <w:sz w:val="16"/>
          <w:szCs w:val="16"/>
        </w:rPr>
        <w:t>Genhold</w:t>
      </w:r>
      <w:proofErr w:type="spellEnd"/>
      <w:r w:rsidRPr="001D2C70">
        <w:rPr>
          <w:rFonts w:ascii="Times New Roman" w:eastAsia="Calibri" w:hAnsi="Times New Roman"/>
          <w:i/>
          <w:iCs/>
          <w:sz w:val="16"/>
          <w:szCs w:val="16"/>
        </w:rPr>
        <w:t xml:space="preserve"> </w:t>
      </w:r>
      <w:proofErr w:type="spellStart"/>
      <w:r w:rsidRPr="001D2C70">
        <w:rPr>
          <w:rFonts w:ascii="Times New Roman" w:eastAsia="Calibri" w:hAnsi="Times New Roman"/>
          <w:i/>
          <w:iCs/>
          <w:sz w:val="16"/>
          <w:szCs w:val="16"/>
        </w:rPr>
        <w:t>Limited</w:t>
      </w:r>
      <w:proofErr w:type="spellEnd"/>
      <w:r w:rsidRPr="001D2C70">
        <w:rPr>
          <w:rFonts w:ascii="Times New Roman" w:eastAsia="Calibri" w:hAnsi="Times New Roman"/>
          <w:i/>
          <w:iCs/>
          <w:sz w:val="16"/>
          <w:szCs w:val="16"/>
        </w:rPr>
        <w:t xml:space="preserve">. В свободном обращении находится около 34 % акций ПАО «МРСК Центра». Количество акционеров — более 17 тыс. Код акций на бирже: Московская Биржа — MRKC. Тиккеры: </w:t>
      </w:r>
      <w:proofErr w:type="spellStart"/>
      <w:r w:rsidRPr="001D2C70">
        <w:rPr>
          <w:rFonts w:ascii="Times New Roman" w:eastAsia="Calibri" w:hAnsi="Times New Roman"/>
          <w:i/>
          <w:iCs/>
          <w:sz w:val="16"/>
          <w:szCs w:val="16"/>
        </w:rPr>
        <w:t>Bloomberg</w:t>
      </w:r>
      <w:proofErr w:type="spellEnd"/>
      <w:r w:rsidRPr="001D2C70">
        <w:rPr>
          <w:rFonts w:ascii="Times New Roman" w:eastAsia="Calibri" w:hAnsi="Times New Roman"/>
          <w:i/>
          <w:iCs/>
          <w:sz w:val="16"/>
          <w:szCs w:val="16"/>
        </w:rPr>
        <w:t xml:space="preserve"> — MRKC RX, </w:t>
      </w:r>
      <w:proofErr w:type="spellStart"/>
      <w:r w:rsidRPr="001D2C70">
        <w:rPr>
          <w:rFonts w:ascii="Times New Roman" w:eastAsia="Calibri" w:hAnsi="Times New Roman"/>
          <w:i/>
          <w:iCs/>
          <w:sz w:val="16"/>
          <w:szCs w:val="16"/>
        </w:rPr>
        <w:t>Reuters</w:t>
      </w:r>
      <w:proofErr w:type="spellEnd"/>
      <w:r w:rsidRPr="001D2C70">
        <w:rPr>
          <w:rFonts w:ascii="Times New Roman" w:eastAsia="Calibri" w:hAnsi="Times New Roman"/>
          <w:i/>
          <w:iCs/>
          <w:sz w:val="16"/>
          <w:szCs w:val="16"/>
        </w:rPr>
        <w:t xml:space="preserve"> — MRKC.MM. </w:t>
      </w:r>
      <w:r>
        <w:rPr>
          <w:rFonts w:ascii="Times New Roman" w:eastAsia="Calibri" w:hAnsi="Times New Roman"/>
          <w:i/>
          <w:iCs/>
          <w:sz w:val="16"/>
          <w:szCs w:val="16"/>
        </w:rPr>
        <w:t>Трудовой коллектив ПАО «МРСК Центра» насчитывает более 30 тысяч человек.</w:t>
      </w:r>
    </w:p>
    <w:p w:rsidR="005F0CBD" w:rsidRDefault="005F0CBD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 w:rsidRPr="001D2C70">
        <w:rPr>
          <w:rFonts w:ascii="Times New Roman" w:eastAsia="Calibri" w:hAnsi="Times New Roman"/>
          <w:i/>
          <w:iCs/>
          <w:sz w:val="16"/>
          <w:szCs w:val="16"/>
        </w:rPr>
        <w:t>Производственный потенциал ПАО «МРСК Центра» составляет 2,4 тыс. подстанций напряжением 35-110 кВ общей мощностью 33,8 тыс. МВА и 95,3 тыс. подстанций напряжением 6—10 кВ общей мощностью около 18 тыс. МВА.</w:t>
      </w:r>
      <w:r>
        <w:rPr>
          <w:rFonts w:ascii="Times New Roman" w:eastAsia="Calibri" w:hAnsi="Times New Roman"/>
          <w:i/>
          <w:iCs/>
          <w:sz w:val="16"/>
          <w:szCs w:val="16"/>
        </w:rPr>
        <w:t xml:space="preserve"> В целом доля ПАО «МРСК Центра» на рынке передачи электрической энергии регионов в зонах ответственности составляет около 83%; доля компании на рынке технологических присоединений на территории Белгородской, Брянской, Воронежской, Костромской, Курской, Липецкой, Орловской, Смоленской, Тамбовской, Тверской, Ярославской областей (территория площадью 457,7 тысяч квадратных километров) - порядка 87%. Общая протяженность линий электропередачи 0,4-110 кВ - 379 тысяч километров. </w:t>
      </w:r>
    </w:p>
    <w:p w:rsidR="005F0CBD" w:rsidRDefault="005F0CBD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>Основными стратегическими приоритетами ПАО «МРСК Центра» являются: обеспечение надежного, бесперебойного и качественного электроснабжения потребителей; повышение уровня качества и надежности оказываемых услуг; повышение эффективности инвестиций; энергосбережение и снижение потерь; повышение эффективности операционных затрат; улучшение взаимодействия с потребителями, обществом и инвесторами.</w:t>
      </w:r>
    </w:p>
    <w:p w:rsidR="005F0CBD" w:rsidRDefault="005F0CBD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16"/>
          <w:szCs w:val="16"/>
        </w:rPr>
      </w:pPr>
      <w:r w:rsidRPr="001D2C70">
        <w:rPr>
          <w:rFonts w:ascii="Times New Roman" w:eastAsia="Calibri" w:hAnsi="Times New Roman"/>
          <w:b/>
          <w:bCs/>
          <w:i/>
          <w:sz w:val="16"/>
          <w:szCs w:val="16"/>
        </w:rPr>
        <w:t>Филиал ПАО «МРСК Центра» – «Тамбовэнерго»</w:t>
      </w:r>
      <w:r>
        <w:rPr>
          <w:rFonts w:ascii="Times New Roman" w:eastAsia="Calibri" w:hAnsi="Times New Roman"/>
          <w:bCs/>
          <w:i/>
          <w:sz w:val="16"/>
          <w:szCs w:val="16"/>
        </w:rPr>
        <w:t xml:space="preserve"> обеспечивает централизованным электроснабжением Тамбовскую область с территорией площадью 34,5 тыс. кв. км и населением более 1 млн. 100 тыс. человек. В состав филиала входит 17 районов электрических сетей. Общая численность сотрудников филиала (на 01.04.2018г.) составляет 2 036 человек. </w:t>
      </w:r>
    </w:p>
    <w:p w:rsidR="005F0CBD" w:rsidRDefault="005F0CBD" w:rsidP="001D2C70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Руководитель заместитель генерального директора – директор филиала ПАО «МРСК Центра» - «Тамбовэнерго» Богомолов Николай Валериевич.</w:t>
      </w:r>
    </w:p>
    <w:p w:rsidR="005F0CBD" w:rsidRDefault="005F0CBD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16"/>
          <w:szCs w:val="16"/>
        </w:rPr>
      </w:pPr>
      <w:r>
        <w:rPr>
          <w:rFonts w:ascii="Times New Roman" w:eastAsia="Calibri" w:hAnsi="Times New Roman"/>
          <w:bCs/>
          <w:i/>
          <w:sz w:val="16"/>
          <w:szCs w:val="16"/>
        </w:rPr>
        <w:t>Количество подстанций 35-110 кВ – 209 шт.</w:t>
      </w:r>
    </w:p>
    <w:p w:rsidR="005F0CBD" w:rsidRDefault="005F0CBD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16"/>
          <w:szCs w:val="16"/>
        </w:rPr>
      </w:pPr>
      <w:r>
        <w:rPr>
          <w:rFonts w:ascii="Times New Roman" w:eastAsia="Calibri" w:hAnsi="Times New Roman"/>
          <w:bCs/>
          <w:i/>
          <w:sz w:val="16"/>
          <w:szCs w:val="16"/>
        </w:rPr>
        <w:t xml:space="preserve">Количество ТП, РП 6-10/0,4 кВ – 6 242 шт. </w:t>
      </w:r>
    </w:p>
    <w:p w:rsidR="005F0CBD" w:rsidRDefault="005F0CBD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16"/>
          <w:szCs w:val="16"/>
        </w:rPr>
      </w:pPr>
      <w:r>
        <w:rPr>
          <w:rFonts w:ascii="Times New Roman" w:eastAsia="Calibri" w:hAnsi="Times New Roman"/>
          <w:bCs/>
          <w:i/>
          <w:sz w:val="16"/>
          <w:szCs w:val="16"/>
        </w:rPr>
        <w:t xml:space="preserve">Общая мощность подстанций 35-110 кВ – 2 571,3 МВА </w:t>
      </w:r>
    </w:p>
    <w:p w:rsidR="005F0CBD" w:rsidRDefault="005F0CBD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16"/>
          <w:szCs w:val="16"/>
        </w:rPr>
      </w:pPr>
      <w:r>
        <w:rPr>
          <w:rFonts w:ascii="Times New Roman" w:eastAsia="Calibri" w:hAnsi="Times New Roman"/>
          <w:bCs/>
          <w:i/>
          <w:sz w:val="16"/>
          <w:szCs w:val="16"/>
        </w:rPr>
        <w:t xml:space="preserve">Общая мощность ТП, РП 6-10/0,4 кВ – 1 167,85 МВА </w:t>
      </w:r>
    </w:p>
    <w:p w:rsidR="005F0CBD" w:rsidRDefault="005F0CBD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16"/>
          <w:szCs w:val="16"/>
        </w:rPr>
      </w:pPr>
      <w:r>
        <w:rPr>
          <w:rFonts w:ascii="Times New Roman" w:eastAsia="Calibri" w:hAnsi="Times New Roman"/>
          <w:bCs/>
          <w:i/>
          <w:sz w:val="16"/>
          <w:szCs w:val="16"/>
        </w:rPr>
        <w:t xml:space="preserve">Протяженность сетей 0,4-10 кВ составляет 22,631 тысяч километров, </w:t>
      </w:r>
    </w:p>
    <w:p w:rsidR="005F0CBD" w:rsidRDefault="005F0CBD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16"/>
          <w:szCs w:val="16"/>
        </w:rPr>
      </w:pPr>
      <w:r>
        <w:rPr>
          <w:rFonts w:ascii="Times New Roman" w:eastAsia="Calibri" w:hAnsi="Times New Roman"/>
          <w:bCs/>
          <w:i/>
          <w:sz w:val="16"/>
          <w:szCs w:val="16"/>
        </w:rPr>
        <w:t>ВЛ 35-110 кВ – 5,817 тысяч километров.</w:t>
      </w:r>
    </w:p>
    <w:p w:rsidR="005F0CBD" w:rsidRDefault="005F0CBD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i/>
          <w:sz w:val="16"/>
          <w:szCs w:val="16"/>
        </w:rPr>
      </w:pPr>
    </w:p>
    <w:p w:rsidR="005F0CBD" w:rsidRDefault="005F0CBD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i/>
          <w:sz w:val="16"/>
          <w:szCs w:val="16"/>
        </w:rPr>
      </w:pPr>
      <w:r>
        <w:rPr>
          <w:rFonts w:ascii="Times New Roman" w:eastAsia="Calibri" w:hAnsi="Times New Roman"/>
          <w:b/>
          <w:bCs/>
          <w:i/>
          <w:sz w:val="16"/>
          <w:szCs w:val="16"/>
        </w:rPr>
        <w:t xml:space="preserve">КОНТАКТЫ </w:t>
      </w:r>
    </w:p>
    <w:p w:rsidR="005F0CBD" w:rsidRDefault="005F0CBD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i/>
          <w:sz w:val="16"/>
          <w:szCs w:val="16"/>
        </w:rPr>
      </w:pPr>
      <w:r>
        <w:rPr>
          <w:rFonts w:ascii="Times New Roman" w:eastAsia="Calibri" w:hAnsi="Times New Roman"/>
          <w:b/>
          <w:bCs/>
          <w:i/>
          <w:sz w:val="16"/>
          <w:szCs w:val="16"/>
        </w:rPr>
        <w:t xml:space="preserve">Кулаева Кристина  </w:t>
      </w:r>
    </w:p>
    <w:p w:rsidR="005F0CBD" w:rsidRDefault="005F0CBD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i/>
          <w:sz w:val="16"/>
          <w:szCs w:val="16"/>
        </w:rPr>
      </w:pPr>
      <w:hyperlink r:id="rId7" w:history="1">
        <w:r>
          <w:rPr>
            <w:rStyle w:val="a3"/>
            <w:rFonts w:eastAsia="Calibri"/>
            <w:b/>
            <w:bCs/>
            <w:i/>
            <w:lang w:val="en-US"/>
          </w:rPr>
          <w:t>Kulaeva</w:t>
        </w:r>
        <w:r>
          <w:rPr>
            <w:rStyle w:val="a3"/>
            <w:rFonts w:eastAsia="Calibri"/>
            <w:b/>
            <w:bCs/>
            <w:i/>
          </w:rPr>
          <w:t>.</w:t>
        </w:r>
        <w:r>
          <w:rPr>
            <w:rStyle w:val="a3"/>
            <w:rFonts w:eastAsia="Calibri"/>
            <w:b/>
            <w:bCs/>
            <w:i/>
            <w:lang w:val="en-US"/>
          </w:rPr>
          <w:t>KS</w:t>
        </w:r>
        <w:r>
          <w:rPr>
            <w:rStyle w:val="a3"/>
            <w:rFonts w:eastAsia="Calibri"/>
            <w:b/>
            <w:bCs/>
            <w:i/>
          </w:rPr>
          <w:t>@mrsk-1.ru</w:t>
        </w:r>
      </w:hyperlink>
      <w:r>
        <w:rPr>
          <w:rFonts w:ascii="Times New Roman" w:eastAsia="Calibri" w:hAnsi="Times New Roman"/>
          <w:b/>
          <w:bCs/>
          <w:i/>
          <w:sz w:val="16"/>
          <w:szCs w:val="16"/>
        </w:rPr>
        <w:t xml:space="preserve"> </w:t>
      </w:r>
    </w:p>
    <w:p w:rsidR="00267986" w:rsidRPr="005F0CBD" w:rsidRDefault="005F0CBD" w:rsidP="005F0CBD">
      <w:pPr>
        <w:spacing w:line="240" w:lineRule="auto"/>
        <w:ind w:firstLine="709"/>
        <w:contextualSpacing/>
        <w:jc w:val="both"/>
        <w:rPr>
          <w:rFonts w:ascii="Calibri" w:eastAsia="Calibri" w:hAnsi="Calibri"/>
          <w:sz w:val="16"/>
          <w:szCs w:val="16"/>
        </w:rPr>
      </w:pPr>
      <w:r>
        <w:rPr>
          <w:rFonts w:ascii="Times New Roman" w:eastAsia="Calibri" w:hAnsi="Times New Roman"/>
          <w:b/>
          <w:bCs/>
          <w:i/>
          <w:sz w:val="16"/>
          <w:szCs w:val="16"/>
        </w:rPr>
        <w:t>Телефон: +7 (4752) 57-81-89</w:t>
      </w:r>
    </w:p>
    <w:sectPr w:rsidR="00267986" w:rsidRPr="005F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07"/>
    <w:rsid w:val="001A0407"/>
    <w:rsid w:val="00200085"/>
    <w:rsid w:val="00210C0F"/>
    <w:rsid w:val="00267986"/>
    <w:rsid w:val="002E2713"/>
    <w:rsid w:val="00452188"/>
    <w:rsid w:val="005735ED"/>
    <w:rsid w:val="005F0CBD"/>
    <w:rsid w:val="006A1434"/>
    <w:rsid w:val="00703549"/>
    <w:rsid w:val="00715B7F"/>
    <w:rsid w:val="00934B45"/>
    <w:rsid w:val="00DF1EEF"/>
    <w:rsid w:val="00E51050"/>
    <w:rsid w:val="00FA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903BC-A667-4A95-B494-CC0AC5D3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986"/>
    <w:rPr>
      <w:color w:val="0563C1" w:themeColor="hyperlink"/>
      <w:u w:val="single"/>
    </w:rPr>
  </w:style>
  <w:style w:type="paragraph" w:styleId="a4">
    <w:name w:val="Normal (Web)"/>
    <w:basedOn w:val="a"/>
    <w:link w:val="a5"/>
    <w:uiPriority w:val="99"/>
    <w:unhideWhenUsed/>
    <w:rsid w:val="005F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uiPriority w:val="99"/>
    <w:locked/>
    <w:rsid w:val="005F0C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aeva.KS@mrsk-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85002-C353-4D5F-BB5E-942CFC16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Надежда Сергеевна</dc:creator>
  <cp:keywords/>
  <dc:description/>
  <cp:lastModifiedBy>Ильичева Надежда Сергеевна</cp:lastModifiedBy>
  <cp:revision>8</cp:revision>
  <dcterms:created xsi:type="dcterms:W3CDTF">2019-03-29T08:03:00Z</dcterms:created>
  <dcterms:modified xsi:type="dcterms:W3CDTF">2019-04-12T11:01:00Z</dcterms:modified>
</cp:coreProperties>
</file>