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F56" w:rsidRDefault="00A25F56" w:rsidP="00A25F56">
      <w:pPr>
        <w:spacing w:after="0" w:line="240" w:lineRule="auto"/>
        <w:jc w:val="both"/>
        <w:rPr>
          <w:rFonts w:ascii="Arial" w:eastAsia="Times New Roman" w:hAnsi="Arial" w:cs="Arial"/>
          <w:b/>
          <w:color w:val="222222"/>
          <w:sz w:val="21"/>
          <w:szCs w:val="21"/>
          <w:lang w:eastAsia="ru-RU"/>
        </w:rPr>
      </w:pPr>
      <w:bookmarkStart w:id="0" w:name="_GoBack"/>
    </w:p>
    <w:p w:rsidR="00FD5727" w:rsidRDefault="00FD5727" w:rsidP="00FD5727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Информация для СМИ</w:t>
      </w:r>
    </w:p>
    <w:p w:rsidR="00FD5727" w:rsidRPr="00FD5727" w:rsidRDefault="003D705C" w:rsidP="00FD5727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ru-RU"/>
        </w:rPr>
        <w:t>22</w:t>
      </w:r>
      <w:r w:rsidR="00FD5727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  <w:r w:rsidR="00256EA1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апреля</w:t>
      </w:r>
      <w:r w:rsidR="00FD5727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201</w:t>
      </w:r>
      <w:r w:rsidR="00540DD0">
        <w:rPr>
          <w:rFonts w:ascii="Arial" w:eastAsia="Times New Roman" w:hAnsi="Arial" w:cs="Arial"/>
          <w:color w:val="222222"/>
          <w:sz w:val="20"/>
          <w:szCs w:val="20"/>
          <w:lang w:eastAsia="ru-RU"/>
        </w:rPr>
        <w:t>9</w:t>
      </w:r>
      <w:r w:rsidR="00FD5727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года</w:t>
      </w:r>
    </w:p>
    <w:p w:rsidR="00B01760" w:rsidRPr="0014066B" w:rsidRDefault="00B01760" w:rsidP="00000E9B">
      <w:pPr>
        <w:spacing w:after="0" w:line="240" w:lineRule="auto"/>
        <w:jc w:val="right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9652DB" w:rsidRDefault="009652DB" w:rsidP="00FD5727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3"/>
          <w:szCs w:val="23"/>
          <w:lang w:eastAsia="ru-RU"/>
        </w:rPr>
      </w:pPr>
    </w:p>
    <w:p w:rsidR="003D705C" w:rsidRDefault="003D705C" w:rsidP="003D705C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3"/>
          <w:szCs w:val="23"/>
          <w:lang w:eastAsia="ru-RU"/>
        </w:rPr>
      </w:pPr>
      <w:r w:rsidRPr="003D705C">
        <w:rPr>
          <w:rFonts w:ascii="Arial" w:eastAsia="Times New Roman" w:hAnsi="Arial" w:cs="Arial"/>
          <w:b/>
          <w:color w:val="222222"/>
          <w:sz w:val="23"/>
          <w:szCs w:val="23"/>
          <w:lang w:eastAsia="ru-RU"/>
        </w:rPr>
        <w:t>«Рождены легендой»:</w:t>
      </w:r>
    </w:p>
    <w:p w:rsidR="00256EA1" w:rsidRDefault="003D705C" w:rsidP="003D705C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3"/>
          <w:szCs w:val="23"/>
          <w:lang w:eastAsia="ru-RU"/>
        </w:rPr>
      </w:pPr>
      <w:r w:rsidRPr="003D705C">
        <w:rPr>
          <w:rFonts w:ascii="Arial" w:eastAsia="Times New Roman" w:hAnsi="Arial" w:cs="Arial"/>
          <w:b/>
          <w:color w:val="222222"/>
          <w:sz w:val="23"/>
          <w:szCs w:val="23"/>
          <w:lang w:eastAsia="ru-RU"/>
        </w:rPr>
        <w:t xml:space="preserve">TCL запустил мотивирующий </w:t>
      </w:r>
      <w:proofErr w:type="spellStart"/>
      <w:r w:rsidRPr="003D705C">
        <w:rPr>
          <w:rFonts w:ascii="Arial" w:eastAsia="Times New Roman" w:hAnsi="Arial" w:cs="Arial"/>
          <w:b/>
          <w:color w:val="222222"/>
          <w:sz w:val="23"/>
          <w:szCs w:val="23"/>
          <w:lang w:eastAsia="ru-RU"/>
        </w:rPr>
        <w:t>видеосериал</w:t>
      </w:r>
      <w:proofErr w:type="spellEnd"/>
      <w:r w:rsidRPr="003D705C">
        <w:rPr>
          <w:rFonts w:ascii="Arial" w:eastAsia="Times New Roman" w:hAnsi="Arial" w:cs="Arial"/>
          <w:b/>
          <w:color w:val="222222"/>
          <w:sz w:val="23"/>
          <w:szCs w:val="23"/>
          <w:lang w:eastAsia="ru-RU"/>
        </w:rPr>
        <w:t xml:space="preserve"> о спортсменах со всего мира</w:t>
      </w:r>
    </w:p>
    <w:p w:rsidR="003D705C" w:rsidRDefault="003D705C" w:rsidP="003D705C">
      <w:pPr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3"/>
          <w:szCs w:val="23"/>
          <w:lang w:eastAsia="ru-RU"/>
        </w:rPr>
      </w:pPr>
    </w:p>
    <w:p w:rsidR="003D705C" w:rsidRDefault="003D705C" w:rsidP="00C17D36">
      <w:pPr>
        <w:spacing w:after="0" w:line="240" w:lineRule="auto"/>
        <w:jc w:val="both"/>
        <w:rPr>
          <w:rFonts w:ascii="Arial" w:eastAsia="Times New Roman" w:hAnsi="Arial" w:cs="Arial"/>
          <w:i/>
          <w:color w:val="222222"/>
          <w:sz w:val="20"/>
          <w:szCs w:val="20"/>
          <w:lang w:eastAsia="ru-RU"/>
        </w:rPr>
      </w:pPr>
    </w:p>
    <w:p w:rsidR="00256EA1" w:rsidRDefault="003D705C" w:rsidP="00C17D36">
      <w:pPr>
        <w:spacing w:after="0" w:line="240" w:lineRule="auto"/>
        <w:jc w:val="both"/>
        <w:rPr>
          <w:rFonts w:ascii="Arial" w:eastAsia="Times New Roman" w:hAnsi="Arial" w:cs="Arial"/>
          <w:i/>
          <w:color w:val="222222"/>
          <w:sz w:val="20"/>
          <w:szCs w:val="20"/>
          <w:lang w:eastAsia="ru-RU"/>
        </w:rPr>
      </w:pPr>
      <w:r w:rsidRPr="003D705C">
        <w:rPr>
          <w:rFonts w:ascii="Arial" w:eastAsia="Times New Roman" w:hAnsi="Arial" w:cs="Arial"/>
          <w:i/>
          <w:color w:val="222222"/>
          <w:sz w:val="20"/>
          <w:szCs w:val="20"/>
          <w:lang w:eastAsia="ru-RU"/>
        </w:rPr>
        <w:t xml:space="preserve">Китайский производитель увеличивает число своих </w:t>
      </w:r>
      <w:proofErr w:type="spellStart"/>
      <w:r w:rsidRPr="003D705C">
        <w:rPr>
          <w:rFonts w:ascii="Arial" w:eastAsia="Times New Roman" w:hAnsi="Arial" w:cs="Arial"/>
          <w:i/>
          <w:color w:val="222222"/>
          <w:sz w:val="20"/>
          <w:szCs w:val="20"/>
          <w:lang w:eastAsia="ru-RU"/>
        </w:rPr>
        <w:t>амбассадоров</w:t>
      </w:r>
      <w:proofErr w:type="spellEnd"/>
      <w:r w:rsidRPr="003D705C">
        <w:rPr>
          <w:rFonts w:ascii="Arial" w:eastAsia="Times New Roman" w:hAnsi="Arial" w:cs="Arial"/>
          <w:i/>
          <w:color w:val="222222"/>
          <w:sz w:val="20"/>
          <w:szCs w:val="20"/>
          <w:lang w:eastAsia="ru-RU"/>
        </w:rPr>
        <w:t xml:space="preserve"> и транслирует ценности бренда широкой общественности.</w:t>
      </w:r>
    </w:p>
    <w:p w:rsidR="003D705C" w:rsidRDefault="003D705C" w:rsidP="00C17D36">
      <w:pPr>
        <w:spacing w:after="0" w:line="240" w:lineRule="auto"/>
        <w:jc w:val="both"/>
        <w:rPr>
          <w:rFonts w:ascii="Arial" w:eastAsia="Times New Roman" w:hAnsi="Arial" w:cs="Arial"/>
          <w:i/>
          <w:color w:val="222222"/>
          <w:sz w:val="20"/>
          <w:szCs w:val="20"/>
          <w:lang w:eastAsia="ru-RU"/>
        </w:rPr>
      </w:pPr>
    </w:p>
    <w:p w:rsidR="00256EA1" w:rsidRDefault="003D705C" w:rsidP="00540D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D705C">
        <w:rPr>
          <w:rFonts w:ascii="Arial" w:hAnsi="Arial" w:cs="Arial"/>
          <w:sz w:val="20"/>
          <w:szCs w:val="20"/>
        </w:rPr>
        <w:t xml:space="preserve">Как известно, 18 апреля 2018 года </w:t>
      </w:r>
      <w:proofErr w:type="spellStart"/>
      <w:r w:rsidRPr="003D705C">
        <w:rPr>
          <w:rFonts w:ascii="Arial" w:hAnsi="Arial" w:cs="Arial"/>
          <w:sz w:val="20"/>
          <w:szCs w:val="20"/>
        </w:rPr>
        <w:t>Неймар</w:t>
      </w:r>
      <w:proofErr w:type="spellEnd"/>
      <w:r w:rsidRPr="003D705C">
        <w:rPr>
          <w:rFonts w:ascii="Arial" w:hAnsi="Arial" w:cs="Arial"/>
          <w:sz w:val="20"/>
          <w:szCs w:val="20"/>
        </w:rPr>
        <w:t xml:space="preserve">, один из самых влиятельных и всемирно известных спортсменов мира, официально стал </w:t>
      </w:r>
      <w:proofErr w:type="spellStart"/>
      <w:r w:rsidRPr="003D705C">
        <w:rPr>
          <w:rFonts w:ascii="Arial" w:hAnsi="Arial" w:cs="Arial"/>
          <w:sz w:val="20"/>
          <w:szCs w:val="20"/>
        </w:rPr>
        <w:t>амбассадором</w:t>
      </w:r>
      <w:proofErr w:type="spellEnd"/>
      <w:r w:rsidRPr="003D705C">
        <w:rPr>
          <w:rFonts w:ascii="Arial" w:hAnsi="Arial" w:cs="Arial"/>
          <w:sz w:val="20"/>
          <w:szCs w:val="20"/>
        </w:rPr>
        <w:t xml:space="preserve"> бренда TCL, входящего в тройку мировых лидеров среди производителей телевизоров и потребительской электроники.  Кроме того, компания TCL провела международную кампанию наружной рекламы с участием </w:t>
      </w:r>
      <w:proofErr w:type="spellStart"/>
      <w:r w:rsidRPr="003D705C">
        <w:rPr>
          <w:rFonts w:ascii="Arial" w:hAnsi="Arial" w:cs="Arial"/>
          <w:sz w:val="20"/>
          <w:szCs w:val="20"/>
        </w:rPr>
        <w:t>Неймара</w:t>
      </w:r>
      <w:proofErr w:type="spellEnd"/>
      <w:r w:rsidRPr="003D705C">
        <w:rPr>
          <w:rFonts w:ascii="Arial" w:hAnsi="Arial" w:cs="Arial"/>
          <w:sz w:val="20"/>
          <w:szCs w:val="20"/>
        </w:rPr>
        <w:t xml:space="preserve"> под тематическим названием «Рожден легендой» («</w:t>
      </w:r>
      <w:proofErr w:type="spellStart"/>
      <w:r w:rsidRPr="003D705C">
        <w:rPr>
          <w:rFonts w:ascii="Arial" w:hAnsi="Arial" w:cs="Arial"/>
          <w:sz w:val="20"/>
          <w:szCs w:val="20"/>
        </w:rPr>
        <w:t>Born</w:t>
      </w:r>
      <w:proofErr w:type="spellEnd"/>
      <w:r w:rsidRPr="003D705C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3D705C">
        <w:rPr>
          <w:rFonts w:ascii="Arial" w:hAnsi="Arial" w:cs="Arial"/>
          <w:sz w:val="20"/>
          <w:szCs w:val="20"/>
        </w:rPr>
        <w:t>Legend</w:t>
      </w:r>
      <w:proofErr w:type="spellEnd"/>
      <w:r w:rsidRPr="003D705C">
        <w:rPr>
          <w:rFonts w:ascii="Arial" w:hAnsi="Arial" w:cs="Arial"/>
          <w:sz w:val="20"/>
          <w:szCs w:val="20"/>
        </w:rPr>
        <w:t>»), организовала и провела специальные мероприятия в различных знаковых местах по всему миру.</w:t>
      </w:r>
    </w:p>
    <w:p w:rsidR="003D705C" w:rsidRDefault="003D705C" w:rsidP="00540D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D705C" w:rsidRDefault="003D705C" w:rsidP="003D705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F7707F6">
            <wp:extent cx="5932170" cy="27006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56EA1" w:rsidRDefault="00256EA1" w:rsidP="00540D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40DD0" w:rsidRPr="00540DD0" w:rsidRDefault="00540DD0" w:rsidP="00540DD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D705C" w:rsidRDefault="003D705C" w:rsidP="003D70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D705C">
        <w:rPr>
          <w:rFonts w:ascii="Arial" w:hAnsi="Arial" w:cs="Arial"/>
          <w:sz w:val="20"/>
          <w:szCs w:val="20"/>
        </w:rPr>
        <w:t xml:space="preserve">Рекламная компания с </w:t>
      </w:r>
      <w:proofErr w:type="spellStart"/>
      <w:r w:rsidRPr="003D705C">
        <w:rPr>
          <w:rFonts w:ascii="Arial" w:hAnsi="Arial" w:cs="Arial"/>
          <w:sz w:val="20"/>
          <w:szCs w:val="20"/>
        </w:rPr>
        <w:t>Неймаром</w:t>
      </w:r>
      <w:proofErr w:type="spellEnd"/>
      <w:r w:rsidRPr="003D705C">
        <w:rPr>
          <w:rFonts w:ascii="Arial" w:hAnsi="Arial" w:cs="Arial"/>
          <w:sz w:val="20"/>
          <w:szCs w:val="20"/>
        </w:rPr>
        <w:t xml:space="preserve"> оказалось очень успешной, и TCL решил ее продолжить и рассказать о ярких историях спортсменов со всего мира, тем самым увеличив количество своих </w:t>
      </w:r>
      <w:proofErr w:type="spellStart"/>
      <w:r w:rsidRPr="003D705C">
        <w:rPr>
          <w:rFonts w:ascii="Arial" w:hAnsi="Arial" w:cs="Arial"/>
          <w:sz w:val="20"/>
          <w:szCs w:val="20"/>
        </w:rPr>
        <w:t>амбассадоров</w:t>
      </w:r>
      <w:proofErr w:type="spellEnd"/>
      <w:r w:rsidRPr="003D705C">
        <w:rPr>
          <w:rFonts w:ascii="Arial" w:hAnsi="Arial" w:cs="Arial"/>
          <w:sz w:val="20"/>
          <w:szCs w:val="20"/>
        </w:rPr>
        <w:t xml:space="preserve">. Таким образом, в сотрудничестве с ESPN, ведущим в мире источником спортивного контента, получился проект «Рождены легендой», представленный в виде сериала. </w:t>
      </w:r>
    </w:p>
    <w:p w:rsidR="003D705C" w:rsidRPr="003D705C" w:rsidRDefault="003D705C" w:rsidP="003D70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56EA1" w:rsidRDefault="003D705C" w:rsidP="003D70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D705C">
        <w:rPr>
          <w:rFonts w:ascii="Arial" w:hAnsi="Arial" w:cs="Arial"/>
          <w:sz w:val="20"/>
          <w:szCs w:val="20"/>
        </w:rPr>
        <w:t>Сериал рассказывает истории молодых и перспективных спортсменов, которые добились своей цели, не смотря на сложные обстоятельства. Проект призван побудить людей бороться за свои мечты и становиться легендой, которой они были рождены. Идея кампании «Рождены легендой» полностью отражает философию бренда TCL, вдохновляющего и транслирующего такие ценности, как постоянное стремление к самосовершенствованию и достижение высоких результатов.</w:t>
      </w:r>
    </w:p>
    <w:p w:rsidR="003D705C" w:rsidRDefault="003D705C" w:rsidP="003D70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D705C" w:rsidRDefault="003D705C" w:rsidP="003D70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D705C">
        <w:rPr>
          <w:rFonts w:ascii="Arial" w:hAnsi="Arial" w:cs="Arial"/>
          <w:sz w:val="20"/>
          <w:szCs w:val="20"/>
        </w:rPr>
        <w:t>Видеосериал</w:t>
      </w:r>
      <w:proofErr w:type="spellEnd"/>
      <w:r w:rsidRPr="003D705C">
        <w:rPr>
          <w:rFonts w:ascii="Arial" w:hAnsi="Arial" w:cs="Arial"/>
          <w:sz w:val="20"/>
          <w:szCs w:val="20"/>
        </w:rPr>
        <w:t xml:space="preserve"> состоит из шести эпизодов, охватывающих несколько стран, включая Индонезию, Индию, Германию, Японию, Россию, Мексику. Первый эпизод с участием Дефии </w:t>
      </w:r>
      <w:proofErr w:type="spellStart"/>
      <w:r w:rsidRPr="003D705C">
        <w:rPr>
          <w:rFonts w:ascii="Arial" w:hAnsi="Arial" w:cs="Arial"/>
          <w:sz w:val="20"/>
          <w:szCs w:val="20"/>
        </w:rPr>
        <w:t>Росманияр</w:t>
      </w:r>
      <w:proofErr w:type="spellEnd"/>
      <w:r w:rsidRPr="003D705C">
        <w:rPr>
          <w:rFonts w:ascii="Arial" w:hAnsi="Arial" w:cs="Arial"/>
          <w:sz w:val="20"/>
          <w:szCs w:val="20"/>
        </w:rPr>
        <w:t xml:space="preserve"> - женщины-индонезийского бойца тхэквондо уже вышел в свет. Мотивирующая история Дефии рассказывает о том, как спортсменка произвела впечатление на судей и выиграла золотую медаль. </w:t>
      </w:r>
      <w:proofErr w:type="spellStart"/>
      <w:r w:rsidRPr="003D705C">
        <w:rPr>
          <w:rFonts w:ascii="Arial" w:hAnsi="Arial" w:cs="Arial"/>
          <w:sz w:val="20"/>
          <w:szCs w:val="20"/>
        </w:rPr>
        <w:t>Дефия</w:t>
      </w:r>
      <w:proofErr w:type="spellEnd"/>
      <w:r w:rsidRPr="003D705C">
        <w:rPr>
          <w:rFonts w:ascii="Arial" w:hAnsi="Arial" w:cs="Arial"/>
          <w:sz w:val="20"/>
          <w:szCs w:val="20"/>
        </w:rPr>
        <w:t xml:space="preserve"> сделала это, несмотря на то, что ее отец скончался за несколько дней до начала боя. Видео демонстрирует, как поддержка отца карьеры его дочери побудила ее стать спортсменкой мирового уровня.</w:t>
      </w:r>
    </w:p>
    <w:p w:rsidR="003D705C" w:rsidRPr="003D705C" w:rsidRDefault="003D705C" w:rsidP="003D70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D705C" w:rsidRDefault="003D705C" w:rsidP="003D70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D705C">
        <w:rPr>
          <w:rFonts w:ascii="Arial" w:hAnsi="Arial" w:cs="Arial"/>
          <w:sz w:val="20"/>
          <w:szCs w:val="20"/>
        </w:rPr>
        <w:lastRenderedPageBreak/>
        <w:t xml:space="preserve">В скором времени компания выберет своих </w:t>
      </w:r>
      <w:proofErr w:type="spellStart"/>
      <w:r w:rsidRPr="003D705C">
        <w:rPr>
          <w:rFonts w:ascii="Arial" w:hAnsi="Arial" w:cs="Arial"/>
          <w:sz w:val="20"/>
          <w:szCs w:val="20"/>
        </w:rPr>
        <w:t>амбассадоров</w:t>
      </w:r>
      <w:proofErr w:type="spellEnd"/>
      <w:r w:rsidRPr="003D705C">
        <w:rPr>
          <w:rFonts w:ascii="Arial" w:hAnsi="Arial" w:cs="Arial"/>
          <w:sz w:val="20"/>
          <w:szCs w:val="20"/>
        </w:rPr>
        <w:t xml:space="preserve"> и в других странах, включая Россию.</w:t>
      </w:r>
    </w:p>
    <w:p w:rsidR="003D705C" w:rsidRDefault="003D705C" w:rsidP="003D70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D705C" w:rsidRDefault="003D705C" w:rsidP="003D70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FF66CE7">
            <wp:extent cx="5888990" cy="2365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05C" w:rsidRDefault="003D705C" w:rsidP="003D70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D705C" w:rsidRDefault="003D705C" w:rsidP="003D705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40DD0" w:rsidRPr="00D73D87" w:rsidRDefault="00540DD0" w:rsidP="00540DD0">
      <w:pPr>
        <w:spacing w:after="0" w:line="240" w:lineRule="auto"/>
        <w:jc w:val="both"/>
        <w:rPr>
          <w:rStyle w:val="a9"/>
          <w:rFonts w:ascii="Arial" w:eastAsia="Times New Roman" w:hAnsi="Arial" w:cs="Arial"/>
          <w:b/>
          <w:i/>
          <w:color w:val="A6A6A6" w:themeColor="background1" w:themeShade="A6"/>
          <w:sz w:val="18"/>
          <w:szCs w:val="18"/>
          <w:lang w:eastAsia="ru-RU"/>
        </w:rPr>
      </w:pPr>
    </w:p>
    <w:p w:rsidR="00F70AC4" w:rsidRPr="00FD5727" w:rsidRDefault="00D67542" w:rsidP="00DA1B18">
      <w:pPr>
        <w:spacing w:after="0" w:line="240" w:lineRule="auto"/>
        <w:rPr>
          <w:rStyle w:val="a9"/>
          <w:rFonts w:ascii="Arial" w:eastAsia="Times New Roman" w:hAnsi="Arial" w:cs="Arial"/>
          <w:b/>
          <w:i/>
          <w:color w:val="A6A6A6" w:themeColor="background1" w:themeShade="A6"/>
          <w:sz w:val="18"/>
          <w:szCs w:val="18"/>
          <w:lang w:eastAsia="ru-RU"/>
        </w:rPr>
      </w:pPr>
      <w:r w:rsidRPr="00FD5727">
        <w:rPr>
          <w:rStyle w:val="a9"/>
          <w:rFonts w:ascii="Arial" w:eastAsia="Times New Roman" w:hAnsi="Arial" w:cs="Arial"/>
          <w:b/>
          <w:i/>
          <w:color w:val="A6A6A6" w:themeColor="background1" w:themeShade="A6"/>
          <w:sz w:val="18"/>
          <w:szCs w:val="18"/>
          <w:lang w:val="en-US" w:eastAsia="ru-RU"/>
        </w:rPr>
        <w:t>O</w:t>
      </w:r>
      <w:r w:rsidRPr="00FD5727">
        <w:rPr>
          <w:rStyle w:val="a9"/>
          <w:rFonts w:ascii="Arial" w:eastAsia="Times New Roman" w:hAnsi="Arial" w:cs="Arial"/>
          <w:b/>
          <w:i/>
          <w:color w:val="A6A6A6" w:themeColor="background1" w:themeShade="A6"/>
          <w:sz w:val="18"/>
          <w:szCs w:val="18"/>
          <w:lang w:eastAsia="ru-RU"/>
        </w:rPr>
        <w:t xml:space="preserve"> </w:t>
      </w:r>
      <w:r w:rsidR="00F70AC4" w:rsidRPr="00FD5727">
        <w:rPr>
          <w:rStyle w:val="a9"/>
          <w:rFonts w:ascii="Arial" w:eastAsia="Times New Roman" w:hAnsi="Arial" w:cs="Arial"/>
          <w:b/>
          <w:i/>
          <w:color w:val="A6A6A6" w:themeColor="background1" w:themeShade="A6"/>
          <w:sz w:val="18"/>
          <w:szCs w:val="18"/>
          <w:lang w:val="en-US" w:eastAsia="ru-RU"/>
        </w:rPr>
        <w:t>TCL</w:t>
      </w:r>
    </w:p>
    <w:p w:rsidR="00F70AC4" w:rsidRPr="0014066B" w:rsidRDefault="00F70AC4" w:rsidP="00F70AC4">
      <w:pPr>
        <w:spacing w:after="0" w:line="240" w:lineRule="auto"/>
        <w:rPr>
          <w:rStyle w:val="a9"/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</w:pPr>
    </w:p>
    <w:p w:rsidR="00F70AC4" w:rsidRPr="0014066B" w:rsidRDefault="00F70AC4" w:rsidP="00FD5727">
      <w:pPr>
        <w:spacing w:after="0" w:line="240" w:lineRule="auto"/>
        <w:jc w:val="both"/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</w:pP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TCL – один из крупнейших в мире производителей бытовой техники и потребительской электроники. </w:t>
      </w:r>
      <w:r w:rsidR="00FD5727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>К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>омпания основана в 1981 году.</w:t>
      </w:r>
      <w:r w:rsidR="00EC004F" w:rsidRPr="0014066B">
        <w:rPr>
          <w:rFonts w:ascii="Arial" w:eastAsia="Times New Roman" w:hAnsi="Arial" w:cs="Arial"/>
          <w:iCs/>
          <w:color w:val="A6A6A6" w:themeColor="background1" w:themeShade="A6"/>
          <w:sz w:val="18"/>
          <w:szCs w:val="18"/>
          <w:lang w:eastAsia="ru-RU"/>
        </w:rPr>
        <w:t xml:space="preserve"> TCL (The </w:t>
      </w:r>
      <w:proofErr w:type="spellStart"/>
      <w:r w:rsidR="00EC004F" w:rsidRPr="0014066B">
        <w:rPr>
          <w:rFonts w:ascii="Arial" w:eastAsia="Times New Roman" w:hAnsi="Arial" w:cs="Arial"/>
          <w:iCs/>
          <w:color w:val="A6A6A6" w:themeColor="background1" w:themeShade="A6"/>
          <w:sz w:val="18"/>
          <w:szCs w:val="18"/>
          <w:lang w:eastAsia="ru-RU"/>
        </w:rPr>
        <w:t>Creative</w:t>
      </w:r>
      <w:proofErr w:type="spellEnd"/>
      <w:r w:rsidR="00EC004F" w:rsidRPr="0014066B">
        <w:rPr>
          <w:rFonts w:ascii="Arial" w:eastAsia="Times New Roman" w:hAnsi="Arial" w:cs="Arial"/>
          <w:iCs/>
          <w:color w:val="A6A6A6" w:themeColor="background1" w:themeShade="A6"/>
          <w:sz w:val="18"/>
          <w:szCs w:val="18"/>
          <w:lang w:eastAsia="ru-RU"/>
        </w:rPr>
        <w:t xml:space="preserve"> </w:t>
      </w:r>
      <w:proofErr w:type="spellStart"/>
      <w:r w:rsidR="00EC004F" w:rsidRPr="0014066B">
        <w:rPr>
          <w:rFonts w:ascii="Arial" w:eastAsia="Times New Roman" w:hAnsi="Arial" w:cs="Arial"/>
          <w:iCs/>
          <w:color w:val="A6A6A6" w:themeColor="background1" w:themeShade="A6"/>
          <w:sz w:val="18"/>
          <w:szCs w:val="18"/>
          <w:lang w:eastAsia="ru-RU"/>
        </w:rPr>
        <w:t>Life</w:t>
      </w:r>
      <w:proofErr w:type="spellEnd"/>
      <w:r w:rsidRPr="0014066B">
        <w:rPr>
          <w:rFonts w:ascii="Arial" w:eastAsia="Times New Roman" w:hAnsi="Arial" w:cs="Arial"/>
          <w:iCs/>
          <w:color w:val="A6A6A6" w:themeColor="background1" w:themeShade="A6"/>
          <w:sz w:val="18"/>
          <w:szCs w:val="18"/>
          <w:lang w:eastAsia="ru-RU"/>
        </w:rPr>
        <w:t>) переводится как «творческая жизнь». Название представляет стремление TCL стать одной из самых креативных, инновационных и технологичных компаний.</w:t>
      </w:r>
    </w:p>
    <w:p w:rsidR="00F70AC4" w:rsidRDefault="00F70AC4" w:rsidP="00FD5727">
      <w:pPr>
        <w:spacing w:after="0" w:line="240" w:lineRule="auto"/>
        <w:jc w:val="both"/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</w:pP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В настоящее время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Corporation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включает в себя четыре предприятия: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Multimedia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Holdings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(Мультимедиа холдинг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),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Communication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Holdings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(Коммуникационный холдинг</w:t>
      </w:r>
      <w:r w:rsidR="00B90950"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),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China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Star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Optoelectronics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Technology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(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China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Star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Оптоэлектронные технологии) и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Home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Appliances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Group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(Группа бытовой техники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TCL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>).</w:t>
      </w:r>
    </w:p>
    <w:p w:rsidR="00F70AC4" w:rsidRDefault="00F70AC4" w:rsidP="00FD5727">
      <w:pPr>
        <w:spacing w:after="0" w:line="240" w:lineRule="auto"/>
        <w:jc w:val="both"/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</w:pP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>В TCL работают более 75 000 человек, открыто более 40 офисов продаж по всему миру. TCL Corporation имеет 23 R&amp;D-центров - в Китае, США, Франции, Сингапуре и владеет 20 производственными базами по всему миру.</w:t>
      </w:r>
    </w:p>
    <w:p w:rsidR="00FD5727" w:rsidRPr="00FD5727" w:rsidRDefault="00F70AC4" w:rsidP="00FD5727">
      <w:pPr>
        <w:spacing w:after="0" w:line="240" w:lineRule="auto"/>
        <w:jc w:val="both"/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</w:pP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Эксклюзивным дистрибьютором TCL в России является компания </w:t>
      </w:r>
      <w:r w:rsidRPr="0014066B">
        <w:rPr>
          <w:rFonts w:ascii="Arial" w:eastAsia="Times New Roman" w:hAnsi="Arial" w:cs="Arial"/>
          <w:color w:val="A6A6A6" w:themeColor="background1" w:themeShade="A6"/>
          <w:sz w:val="18"/>
          <w:szCs w:val="18"/>
          <w:lang w:val="en-US" w:eastAsia="ru-RU"/>
        </w:rPr>
        <w:t>MERLION</w:t>
      </w:r>
      <w:r w:rsidR="00FD5727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 xml:space="preserve"> (</w:t>
      </w:r>
      <w:hyperlink r:id="rId10" w:history="1">
        <w:r w:rsidR="00FD5727" w:rsidRPr="00676EEC">
          <w:rPr>
            <w:rStyle w:val="a9"/>
            <w:rFonts w:ascii="Arial" w:eastAsia="Times New Roman" w:hAnsi="Arial" w:cs="Arial"/>
            <w:sz w:val="18"/>
            <w:szCs w:val="18"/>
            <w:lang w:val="en-US" w:eastAsia="ru-RU"/>
          </w:rPr>
          <w:t>www</w:t>
        </w:r>
        <w:r w:rsidR="00FD5727" w:rsidRPr="00676EEC">
          <w:rPr>
            <w:rStyle w:val="a9"/>
            <w:rFonts w:ascii="Arial" w:eastAsia="Times New Roman" w:hAnsi="Arial" w:cs="Arial"/>
            <w:sz w:val="18"/>
            <w:szCs w:val="18"/>
            <w:lang w:eastAsia="ru-RU"/>
          </w:rPr>
          <w:t>.</w:t>
        </w:r>
        <w:r w:rsidR="00FD5727" w:rsidRPr="00676EEC">
          <w:rPr>
            <w:rStyle w:val="a9"/>
            <w:rFonts w:ascii="Arial" w:eastAsia="Times New Roman" w:hAnsi="Arial" w:cs="Arial"/>
            <w:sz w:val="18"/>
            <w:szCs w:val="18"/>
            <w:lang w:val="en-US" w:eastAsia="ru-RU"/>
          </w:rPr>
          <w:t>merlion</w:t>
        </w:r>
        <w:r w:rsidR="00FD5727" w:rsidRPr="00676EEC">
          <w:rPr>
            <w:rStyle w:val="a9"/>
            <w:rFonts w:ascii="Arial" w:eastAsia="Times New Roman" w:hAnsi="Arial" w:cs="Arial"/>
            <w:sz w:val="18"/>
            <w:szCs w:val="18"/>
            <w:lang w:eastAsia="ru-RU"/>
          </w:rPr>
          <w:t>.</w:t>
        </w:r>
        <w:r w:rsidR="00FD5727" w:rsidRPr="00676EEC">
          <w:rPr>
            <w:rStyle w:val="a9"/>
            <w:rFonts w:ascii="Arial" w:eastAsia="Times New Roman" w:hAnsi="Arial" w:cs="Arial"/>
            <w:sz w:val="18"/>
            <w:szCs w:val="18"/>
            <w:lang w:val="en-US" w:eastAsia="ru-RU"/>
          </w:rPr>
          <w:t>com</w:t>
        </w:r>
      </w:hyperlink>
      <w:r w:rsidR="00FD5727" w:rsidRPr="00FD5727">
        <w:rPr>
          <w:rFonts w:ascii="Arial" w:eastAsia="Times New Roman" w:hAnsi="Arial" w:cs="Arial"/>
          <w:color w:val="A6A6A6" w:themeColor="background1" w:themeShade="A6"/>
          <w:sz w:val="18"/>
          <w:szCs w:val="18"/>
          <w:lang w:eastAsia="ru-RU"/>
        </w:rPr>
        <w:t>).</w:t>
      </w:r>
    </w:p>
    <w:sectPr w:rsidR="00FD5727" w:rsidRPr="00FD5727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DFC" w:rsidRDefault="00FE5DFC" w:rsidP="00D51851">
      <w:pPr>
        <w:spacing w:after="0" w:line="240" w:lineRule="auto"/>
      </w:pPr>
      <w:r>
        <w:separator/>
      </w:r>
    </w:p>
  </w:endnote>
  <w:endnote w:type="continuationSeparator" w:id="0">
    <w:p w:rsidR="00FE5DFC" w:rsidRDefault="00FE5DFC" w:rsidP="00D51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DFC" w:rsidRDefault="00FE5DFC" w:rsidP="00D51851">
      <w:pPr>
        <w:spacing w:after="0" w:line="240" w:lineRule="auto"/>
      </w:pPr>
      <w:r>
        <w:separator/>
      </w:r>
    </w:p>
  </w:footnote>
  <w:footnote w:type="continuationSeparator" w:id="0">
    <w:p w:rsidR="00FE5DFC" w:rsidRDefault="00FE5DFC" w:rsidP="00D51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E9B" w:rsidRDefault="00000E9B" w:rsidP="00F70AC4">
    <w:pPr>
      <w:pStyle w:val="a5"/>
      <w:tabs>
        <w:tab w:val="clear" w:pos="4677"/>
        <w:tab w:val="clear" w:pos="9355"/>
        <w:tab w:val="left" w:pos="6255"/>
      </w:tabs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2F054C5A" wp14:editId="794EDB88">
          <wp:simplePos x="0" y="0"/>
          <wp:positionH relativeFrom="column">
            <wp:posOffset>-634365</wp:posOffset>
          </wp:positionH>
          <wp:positionV relativeFrom="paragraph">
            <wp:posOffset>-441325</wp:posOffset>
          </wp:positionV>
          <wp:extent cx="1176655" cy="1176655"/>
          <wp:effectExtent l="0" t="0" r="4445" b="4445"/>
          <wp:wrapTight wrapText="bothSides">
            <wp:wrapPolygon edited="0">
              <wp:start x="0" y="0"/>
              <wp:lineTo x="0" y="21332"/>
              <wp:lineTo x="21332" y="21332"/>
              <wp:lineTo x="21332" y="0"/>
              <wp:lineTo x="0" y="0"/>
            </wp:wrapPolygon>
          </wp:wrapTight>
          <wp:docPr id="10" name="Рисунок 10" descr="Картинки по запросу merl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артинки по запросу merli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1176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148E225" wp14:editId="44189B74">
          <wp:simplePos x="0" y="0"/>
          <wp:positionH relativeFrom="column">
            <wp:posOffset>4869180</wp:posOffset>
          </wp:positionH>
          <wp:positionV relativeFrom="paragraph">
            <wp:posOffset>-294005</wp:posOffset>
          </wp:positionV>
          <wp:extent cx="1287780" cy="953135"/>
          <wp:effectExtent l="0" t="0" r="7620" b="0"/>
          <wp:wrapTopAndBottom/>
          <wp:docPr id="9" name="Рисунок 9" descr="Картинки по запросу лого tc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артинки по запросу лого tc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E18ED"/>
    <w:multiLevelType w:val="multilevel"/>
    <w:tmpl w:val="C78A6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3C02BC"/>
    <w:multiLevelType w:val="multilevel"/>
    <w:tmpl w:val="27E6E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EB3D19"/>
    <w:multiLevelType w:val="multilevel"/>
    <w:tmpl w:val="53905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D901DB"/>
    <w:multiLevelType w:val="multilevel"/>
    <w:tmpl w:val="CDFA7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5C33ED"/>
    <w:multiLevelType w:val="multilevel"/>
    <w:tmpl w:val="71DA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C01"/>
    <w:rsid w:val="00000E9B"/>
    <w:rsid w:val="000025B8"/>
    <w:rsid w:val="0000456D"/>
    <w:rsid w:val="00021767"/>
    <w:rsid w:val="00031280"/>
    <w:rsid w:val="00037A11"/>
    <w:rsid w:val="00103969"/>
    <w:rsid w:val="001110FA"/>
    <w:rsid w:val="001117D4"/>
    <w:rsid w:val="0014066B"/>
    <w:rsid w:val="00165B9A"/>
    <w:rsid w:val="00176887"/>
    <w:rsid w:val="00176EDD"/>
    <w:rsid w:val="001B6BD9"/>
    <w:rsid w:val="001C57BD"/>
    <w:rsid w:val="001F2E66"/>
    <w:rsid w:val="002233C0"/>
    <w:rsid w:val="00256EA1"/>
    <w:rsid w:val="002916F6"/>
    <w:rsid w:val="002D4CE5"/>
    <w:rsid w:val="002E1754"/>
    <w:rsid w:val="00350DE7"/>
    <w:rsid w:val="00353D76"/>
    <w:rsid w:val="003C32C2"/>
    <w:rsid w:val="003D705C"/>
    <w:rsid w:val="003E6AC7"/>
    <w:rsid w:val="00404F6C"/>
    <w:rsid w:val="004231F1"/>
    <w:rsid w:val="004425D0"/>
    <w:rsid w:val="00457385"/>
    <w:rsid w:val="004A6C01"/>
    <w:rsid w:val="004C1C05"/>
    <w:rsid w:val="004D2B19"/>
    <w:rsid w:val="00503B3A"/>
    <w:rsid w:val="005159E4"/>
    <w:rsid w:val="00536131"/>
    <w:rsid w:val="00540DD0"/>
    <w:rsid w:val="00540E4A"/>
    <w:rsid w:val="005803B3"/>
    <w:rsid w:val="00591E1C"/>
    <w:rsid w:val="005C4DFE"/>
    <w:rsid w:val="00686E83"/>
    <w:rsid w:val="006A7B40"/>
    <w:rsid w:val="006F4128"/>
    <w:rsid w:val="0075098A"/>
    <w:rsid w:val="00753085"/>
    <w:rsid w:val="0077363D"/>
    <w:rsid w:val="007F5926"/>
    <w:rsid w:val="00801A62"/>
    <w:rsid w:val="008154BA"/>
    <w:rsid w:val="00840F29"/>
    <w:rsid w:val="008734EF"/>
    <w:rsid w:val="00884DD1"/>
    <w:rsid w:val="00910E79"/>
    <w:rsid w:val="00926C01"/>
    <w:rsid w:val="00930602"/>
    <w:rsid w:val="00930C19"/>
    <w:rsid w:val="009552C3"/>
    <w:rsid w:val="009652DB"/>
    <w:rsid w:val="00980E77"/>
    <w:rsid w:val="00A25F56"/>
    <w:rsid w:val="00AA6F64"/>
    <w:rsid w:val="00B01760"/>
    <w:rsid w:val="00B83C0E"/>
    <w:rsid w:val="00B90950"/>
    <w:rsid w:val="00BD5FBC"/>
    <w:rsid w:val="00C05DC0"/>
    <w:rsid w:val="00C17D36"/>
    <w:rsid w:val="00C8524C"/>
    <w:rsid w:val="00CB46B9"/>
    <w:rsid w:val="00CC2C74"/>
    <w:rsid w:val="00CE32EB"/>
    <w:rsid w:val="00D06AAC"/>
    <w:rsid w:val="00D117DE"/>
    <w:rsid w:val="00D40FF8"/>
    <w:rsid w:val="00D46BEB"/>
    <w:rsid w:val="00D51851"/>
    <w:rsid w:val="00D67542"/>
    <w:rsid w:val="00D73D87"/>
    <w:rsid w:val="00DA1B18"/>
    <w:rsid w:val="00E429E8"/>
    <w:rsid w:val="00EB3B46"/>
    <w:rsid w:val="00EC004F"/>
    <w:rsid w:val="00F17B9F"/>
    <w:rsid w:val="00F32724"/>
    <w:rsid w:val="00F70AC4"/>
    <w:rsid w:val="00F9449B"/>
    <w:rsid w:val="00FB3EFB"/>
    <w:rsid w:val="00FB6340"/>
    <w:rsid w:val="00FD5727"/>
    <w:rsid w:val="00FE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9C50825A-B341-4859-8F12-B875E487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C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1851"/>
  </w:style>
  <w:style w:type="paragraph" w:styleId="a7">
    <w:name w:val="footer"/>
    <w:basedOn w:val="a"/>
    <w:link w:val="a8"/>
    <w:uiPriority w:val="99"/>
    <w:unhideWhenUsed/>
    <w:rsid w:val="00D5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851"/>
  </w:style>
  <w:style w:type="character" w:styleId="a9">
    <w:name w:val="Hyperlink"/>
    <w:basedOn w:val="a0"/>
    <w:uiPriority w:val="99"/>
    <w:unhideWhenUsed/>
    <w:rsid w:val="002916F6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4A6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D46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46614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64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2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7261">
                  <w:marLeft w:val="0"/>
                  <w:marRight w:val="0"/>
                  <w:marTop w:val="2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2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12051">
                  <w:marLeft w:val="0"/>
                  <w:marRight w:val="0"/>
                  <w:marTop w:val="0"/>
                  <w:marBottom w:val="5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1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331544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437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40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5609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58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720899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445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0467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44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9312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07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7696501">
                  <w:marLeft w:val="0"/>
                  <w:marRight w:val="0"/>
                  <w:marTop w:val="20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6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9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17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69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57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0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19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34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5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776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77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50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716892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04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90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59227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49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30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73148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69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62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74669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30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86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14758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2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8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93468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0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0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18492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5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43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1060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2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09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8735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80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38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8423712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53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42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658632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52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58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30815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12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84913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2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84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597652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1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26873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26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51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85683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358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90420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2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37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32955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9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4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42637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5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44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68800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60699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3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33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78246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98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90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36603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17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41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200962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22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76259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9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87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05247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91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1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356000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7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0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70927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7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58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098672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9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86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30859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06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65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9604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33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94837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3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266782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2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19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22557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56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6507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06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07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402237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2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20422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27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3164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5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15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49429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98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05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709346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17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06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72398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68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94483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3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345338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0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80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9592219">
                  <w:marLeft w:val="17"/>
                  <w:marRight w:val="0"/>
                  <w:marTop w:val="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2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7702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2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53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25013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8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5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49623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0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06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58863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95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7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92957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5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41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81126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92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87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06619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9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18688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75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15397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7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8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87707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49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78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57691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2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8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06157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35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2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79150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0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6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63587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06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05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845358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18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75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12111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4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77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091490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1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1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53819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1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59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949231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78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61846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4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27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65347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25521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6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26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87216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85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3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99576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5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344221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08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45017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3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97724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89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1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160417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52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49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12390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5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02043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9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40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121770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67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88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6090796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64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48392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6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962093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49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861041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05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54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5874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16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338640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5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6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35541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51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16251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51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326189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25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32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122065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2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56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127058">
                      <w:marLeft w:val="17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94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3578184">
                  <w:marLeft w:val="17"/>
                  <w:marRight w:val="0"/>
                  <w:marTop w:val="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4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erlio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77F3D-74AF-4E43-BA9D-5BC5ECA30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456</Company>
  <LinksUpToDate>false</LinksUpToDate>
  <CharactersWithSpaces>3122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masmirnova on OC013427</dc:creator>
  <cp:lastModifiedBy>Petrova Anna</cp:lastModifiedBy>
  <cp:revision>11</cp:revision>
  <dcterms:created xsi:type="dcterms:W3CDTF">2018-04-25T08:37:00Z</dcterms:created>
  <dcterms:modified xsi:type="dcterms:W3CDTF">2019-04-22T09:43:00Z</dcterms:modified>
</cp:coreProperties>
</file>