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ahoma" w:hAnsi="Tahoma" w:cs="Tahoma"/>
          <w:color w:val="000000" w:themeColor="text1"/>
          <w:lang w:val="en-US" w:eastAsia="ru-RU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spacing w:beforeLines="0" w:after="0" w:afterLines="0" w:line="360" w:lineRule="auto"/>
        <w:rPr>
          <w:rFonts w:hint="default" w:ascii="Tahoma" w:hAnsi="Tahoma" w:cs="Tahoma"/>
          <w:b/>
          <w:bCs/>
          <w:sz w:val="40"/>
          <w:szCs w:val="21"/>
        </w:rPr>
      </w:pPr>
      <w:r>
        <w:rPr>
          <w:rFonts w:hint="default" w:ascii="Tahoma" w:hAnsi="Tahoma" w:cs="Tahoma"/>
          <w:b/>
          <w:bCs/>
          <w:sz w:val="28"/>
        </w:rPr>
        <w:t>Пресс-релиз</w:t>
      </w:r>
      <w:r>
        <w:rPr>
          <w:rFonts w:hint="default" w:ascii="Tahoma" w:hAnsi="Tahoma" w:cs="Tahoma"/>
          <w:b/>
          <w:bCs/>
          <w:sz w:val="22"/>
          <w:szCs w:val="20"/>
        </w:rPr>
        <w:t>:</w:t>
      </w:r>
      <w:r>
        <w:rPr>
          <w:rFonts w:hint="default" w:ascii="Tahoma" w:hAnsi="Tahoma" w:cs="Tahoma"/>
          <w:b/>
          <w:bCs/>
          <w:sz w:val="22"/>
          <w:szCs w:val="20"/>
          <w:lang w:val="en-US"/>
        </w:rPr>
        <w:t xml:space="preserve"> </w:t>
      </w:r>
      <w:r>
        <w:rPr>
          <w:rFonts w:hint="default" w:ascii="Tahoma" w:hAnsi="Tahoma" w:cs="Tahoma"/>
          <w:b/>
          <w:bCs/>
          <w:sz w:val="40"/>
          <w:szCs w:val="21"/>
        </w:rPr>
        <w:t>...Вода вода шумит вода…</w:t>
      </w:r>
    </w:p>
    <w:p>
      <w:pPr>
        <w:spacing w:beforeLines="0" w:after="0" w:afterLines="0" w:line="360" w:lineRule="auto"/>
        <w:rPr>
          <w:rFonts w:hint="default" w:ascii="Tahoma" w:hAnsi="Tahoma" w:cs="Tahoma"/>
          <w:b/>
          <w:bCs/>
          <w:sz w:val="40"/>
          <w:szCs w:val="21"/>
          <w:lang w:val="ru-RU"/>
        </w:rPr>
      </w:pPr>
      <w:r>
        <w:rPr>
          <w:rFonts w:hint="default" w:ascii="Tahoma" w:hAnsi="Tahoma" w:cs="Tahoma"/>
          <w:b/>
          <w:bCs/>
          <w:sz w:val="40"/>
          <w:szCs w:val="21"/>
          <w:lang w:val="ru-RU"/>
        </w:rPr>
        <w:t>«Чистая вода. Казань».</w:t>
      </w:r>
    </w:p>
    <w:p>
      <w:pPr>
        <w:spacing w:beforeLines="0" w:after="0" w:afterLines="0" w:line="360" w:lineRule="auto"/>
        <w:rPr>
          <w:rFonts w:hint="default" w:ascii="Tahoma" w:hAnsi="Tahoma" w:cs="Tahoma"/>
          <w:b/>
          <w:bCs/>
          <w:sz w:val="36"/>
          <w:szCs w:val="20"/>
        </w:rPr>
      </w:pPr>
      <w:r>
        <w:rPr>
          <w:rFonts w:hint="default" w:ascii="Tahoma" w:hAnsi="Tahoma" w:cs="Tahoma"/>
          <w:b/>
          <w:bCs/>
          <w:sz w:val="36"/>
          <w:szCs w:val="20"/>
        </w:rPr>
        <w:t>FLAMAX - приходите, пошумим!</w:t>
      </w:r>
    </w:p>
    <w:p>
      <w:pPr>
        <w:spacing w:beforeLines="0" w:after="0" w:afterLines="0" w:line="360" w:lineRule="auto"/>
        <w:rPr>
          <w:rFonts w:hint="default" w:ascii="Tahoma" w:hAnsi="Tahoma" w:cs="Tahoma"/>
          <w:b/>
          <w:sz w:val="22"/>
        </w:rPr>
      </w:pPr>
      <w:r>
        <w:rPr>
          <w:rFonts w:hint="default" w:ascii="Tahoma" w:hAnsi="Tahoma" w:cs="Tahoma"/>
          <w:b/>
          <w:sz w:val="22"/>
        </w:rPr>
        <w:t>С 17 по 19 октября 2019 года в выставочном центре «Казанская ярмарка» состоится десятая, юбилейная выставка-конференция «Чистая вода. Казань», где традиционно экспонируется ООО «ФЛАМАКС» презентующей уникальный продукт, сборные резервуары для хранения больших объёмов воды.</w:t>
      </w: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  <w:r>
        <w:rPr>
          <w:rFonts w:hint="default" w:ascii="Tahoma" w:hAnsi="Tahoma" w:cs="Tahoma"/>
          <w:sz w:val="22"/>
        </w:rPr>
        <w:t>Федеральная целевая программа «Чистая вода» дала рождение выставке, которая развивалась при поддержке Министерства экологии и природных ресурсов, Министерства строительства, архитектуры и жилищно-коммунального хозяйства, администрации Президента Республики Татарстан.</w:t>
      </w: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  <w:r>
        <w:rPr>
          <w:rFonts w:hint="default" w:ascii="Tahoma" w:hAnsi="Tahoma" w:cs="Tahoma"/>
          <w:sz w:val="22"/>
        </w:rPr>
        <w:t>Традиционно на этой площадке обсуждают вопросы развития водохозяйственной отрасли-это добыча, хранение и экономия воды, сохранение одной из главных водных артерий страны - Волги. Здесь встречаются и находят решения проблем органы государственной и местной власти, представители министерств и ведомств с представителями бизнеса и инвесторами. За годы работы выставка обрела свои узнаваемые черты: экспозиции, круглые столы, конференции.</w:t>
      </w: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  <w:r>
        <w:rPr>
          <w:rFonts w:hint="default" w:ascii="Tahoma" w:hAnsi="Tahoma" w:cs="Tahoma"/>
          <w:sz w:val="22"/>
        </w:rPr>
        <w:t xml:space="preserve">Компания FLAMAX подготовила презентацию реального опыта по разработке и возведению буферных, накопительных резервуаров, позволяющих снять проблему хранения воды, на примере </w:t>
      </w:r>
      <w:r>
        <w:rPr>
          <w:rFonts w:hint="default" w:ascii="Tahoma" w:hAnsi="Tahoma" w:cs="Tahoma"/>
          <w:sz w:val="22"/>
          <w:lang w:val="ru-RU"/>
        </w:rPr>
        <w:t>возведённых</w:t>
      </w:r>
      <w:r>
        <w:rPr>
          <w:rFonts w:hint="default" w:ascii="Tahoma" w:hAnsi="Tahoma" w:cs="Tahoma"/>
          <w:sz w:val="22"/>
        </w:rPr>
        <w:t xml:space="preserve"> в городе Арске. Арск - типичный город районного значения с общим набором характерных проблем, например - повышенной потребностью питьевой воды в весенне-летний период. Имеющиеся в городе подземные железобетонные </w:t>
      </w:r>
      <w:r>
        <w:rPr>
          <w:rFonts w:hint="default" w:ascii="Tahoma" w:hAnsi="Tahoma" w:cs="Tahoma"/>
          <w:sz w:val="22"/>
          <w:lang w:val="ru-RU"/>
        </w:rPr>
        <w:t>ёмкости</w:t>
      </w:r>
      <w:r>
        <w:rPr>
          <w:rFonts w:hint="default" w:ascii="Tahoma" w:hAnsi="Tahoma" w:cs="Tahoma"/>
          <w:sz w:val="22"/>
        </w:rPr>
        <w:t xml:space="preserve"> для питьевой воды перестали справляться с возложенным </w:t>
      </w:r>
      <w:r>
        <w:rPr>
          <w:rFonts w:hint="default" w:ascii="Tahoma" w:hAnsi="Tahoma" w:cs="Tahoma"/>
          <w:sz w:val="22"/>
          <w:lang w:val="ru-RU"/>
        </w:rPr>
        <w:t>обязанностями</w:t>
      </w:r>
      <w:r>
        <w:rPr>
          <w:rFonts w:hint="default" w:ascii="Tahoma" w:hAnsi="Tahoma" w:cs="Tahoma"/>
          <w:sz w:val="22"/>
        </w:rPr>
        <w:t>. Специалисты</w:t>
      </w:r>
      <w:r>
        <w:rPr>
          <w:rFonts w:hint="default" w:ascii="Tahoma" w:hAnsi="Tahoma" w:cs="Tahoma"/>
          <w:sz w:val="22"/>
          <w:lang w:val="ru-RU"/>
        </w:rPr>
        <w:t xml:space="preserve"> компании </w:t>
      </w:r>
      <w:r>
        <w:rPr>
          <w:rFonts w:hint="default" w:ascii="Tahoma" w:hAnsi="Tahoma" w:cs="Tahoma"/>
          <w:sz w:val="22"/>
        </w:rPr>
        <w:t xml:space="preserve">спроектировали и построили два дополнительных наземных резервуара </w:t>
      </w:r>
      <w:bookmarkStart w:id="0" w:name="_GoBack"/>
      <w:bookmarkEnd w:id="0"/>
      <w:r>
        <w:rPr>
          <w:rFonts w:hint="default" w:ascii="Tahoma" w:hAnsi="Tahoma" w:cs="Tahoma"/>
          <w:sz w:val="22"/>
          <w:lang w:val="en-US"/>
        </w:rPr>
        <w:t xml:space="preserve">FLAMAX </w:t>
      </w:r>
      <w:r>
        <w:rPr>
          <w:rFonts w:hint="default" w:ascii="Tahoma" w:hAnsi="Tahoma" w:cs="Tahoma"/>
          <w:sz w:val="22"/>
        </w:rPr>
        <w:t>с использованием инновационных технологий, позволяющих сохранить качество питьевой воды за счет уникальной высокотехнологичной современной мембраны. Таким образом, вода не соприкасается с металлическим корпусом и не меняет своего химического состава. </w:t>
      </w: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  <w:r>
        <w:rPr>
          <w:rFonts w:hint="default" w:ascii="Tahoma" w:hAnsi="Tahoma" w:cs="Tahoma"/>
          <w:sz w:val="22"/>
        </w:rPr>
        <w:t>На стенде компании можно будет</w:t>
      </w:r>
      <w:r>
        <w:rPr>
          <w:rFonts w:hint="default" w:ascii="Tahoma" w:hAnsi="Tahoma" w:cs="Tahoma"/>
          <w:sz w:val="22"/>
          <w:lang w:val="ru-RU"/>
        </w:rPr>
        <w:t xml:space="preserve"> увидеть макет резервуара, некоторые материалы, </w:t>
      </w:r>
      <w:r>
        <w:rPr>
          <w:rFonts w:hint="default" w:ascii="Tahoma" w:hAnsi="Tahoma" w:cs="Tahoma"/>
          <w:sz w:val="22"/>
        </w:rPr>
        <w:t>получить реальную помощь</w:t>
      </w:r>
      <w:r>
        <w:rPr>
          <w:rFonts w:hint="default" w:ascii="Tahoma" w:hAnsi="Tahoma" w:cs="Tahoma"/>
          <w:sz w:val="22"/>
          <w:lang w:val="ru-RU"/>
        </w:rPr>
        <w:t xml:space="preserve"> в виде </w:t>
      </w:r>
      <w:r>
        <w:rPr>
          <w:rFonts w:hint="default" w:ascii="Tahoma" w:hAnsi="Tahoma" w:cs="Tahoma"/>
          <w:sz w:val="22"/>
        </w:rPr>
        <w:t>консультаци</w:t>
      </w:r>
      <w:r>
        <w:rPr>
          <w:rFonts w:hint="default" w:ascii="Tahoma" w:hAnsi="Tahoma" w:cs="Tahoma"/>
          <w:sz w:val="22"/>
          <w:lang w:val="ru-RU"/>
        </w:rPr>
        <w:t>й</w:t>
      </w:r>
      <w:r>
        <w:rPr>
          <w:rFonts w:hint="default" w:ascii="Tahoma" w:hAnsi="Tahoma" w:cs="Tahoma"/>
          <w:sz w:val="22"/>
        </w:rPr>
        <w:t xml:space="preserve"> и предварительных расчётов.</w:t>
      </w: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  <w:r>
        <w:rPr>
          <w:rFonts w:hint="default" w:ascii="Tahoma" w:hAnsi="Tahoma" w:cs="Tahoma"/>
          <w:sz w:val="22"/>
        </w:rPr>
        <w:t>Тем более, что компании есть что предложить заинтересованным</w:t>
      </w:r>
      <w:r>
        <w:rPr>
          <w:rFonts w:hint="default" w:ascii="Tahoma" w:hAnsi="Tahoma" w:cs="Tahoma"/>
          <w:sz w:val="22"/>
          <w:lang w:val="ru-RU"/>
        </w:rPr>
        <w:t xml:space="preserve"> сторонам:</w:t>
      </w:r>
      <w:r>
        <w:rPr>
          <w:rFonts w:hint="default" w:ascii="Tahoma" w:hAnsi="Tahoma" w:cs="Tahoma"/>
          <w:sz w:val="22"/>
        </w:rPr>
        <w:t xml:space="preserve"> инвесторам и заказчикам, как в Татарстане, так и за его пределами! На круглом столе на тему: «Современные технологии и оборудование для подготовки питьевой воды и очистке сточных вод», спикер нашей компании, менеджер по продажам Ренат Гайсин, выступит с докладом "FLAMAX. Сборные резервуары для противопожарного и питьевого запаса воды."</w:t>
      </w:r>
    </w:p>
    <w:p>
      <w:pPr>
        <w:spacing w:beforeLines="0" w:after="0" w:afterLines="0" w:line="360" w:lineRule="auto"/>
        <w:rPr>
          <w:rFonts w:hint="default" w:ascii="Tahoma" w:hAnsi="Tahoma" w:cs="Tahoma"/>
          <w:sz w:val="22"/>
        </w:rPr>
      </w:pPr>
      <w:r>
        <w:rPr>
          <w:rFonts w:hint="default" w:ascii="Tahoma" w:hAnsi="Tahoma" w:cs="Tahoma"/>
          <w:sz w:val="22"/>
        </w:rPr>
        <w:t>Не забудьте запланировать и посетить с 17-19 октября, 3 павильон, стенд 202 (А) компании FLAMAX на ВЦ «Казанская ярмарка».</w:t>
      </w:r>
    </w:p>
    <w:p>
      <w:pPr>
        <w:spacing w:after="100" w:afterAutospacing="1" w:line="240" w:lineRule="auto"/>
        <w:jc w:val="both"/>
        <w:rPr>
          <w:rFonts w:hint="default" w:ascii="Tahoma" w:hAnsi="Tahoma" w:cs="Tahoma"/>
          <w:b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after="100" w:afterAutospacing="1" w:line="240" w:lineRule="auto"/>
        <w:jc w:val="both"/>
        <w:rPr>
          <w:rFonts w:hint="default" w:ascii="Tahoma" w:hAnsi="Tahoma" w:cs="Tahoma"/>
          <w:b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Контакт для прессы: </w:t>
      </w:r>
    </w:p>
    <w:p>
      <w:pPr>
        <w:pStyle w:val="25"/>
        <w:rPr>
          <w:rFonts w:hint="default" w:ascii="Tahoma" w:hAnsi="Tahoma" w:cs="Tahoma"/>
          <w:i/>
          <w:color w:val="000000" w:themeColor="text1"/>
          <w:sz w:val="18"/>
          <w:szCs w:val="1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PR</w:t>
      </w:r>
      <w:r>
        <w:rPr>
          <w:rFonts w:hint="default" w:ascii="Tahoma" w:hAnsi="Tahoma" w:cs="Tahoma"/>
          <w:i/>
          <w:color w:val="000000" w:themeColor="text1"/>
          <w:sz w:val="18"/>
          <w:szCs w:val="18"/>
          <w:lang w:val="ru-RU"/>
          <w14:textFill>
            <w14:solidFill>
              <w14:schemeClr w14:val="tx1"/>
            </w14:solidFill>
          </w14:textFill>
        </w:rPr>
        <w:t xml:space="preserve"> менеджер</w:t>
      </w:r>
    </w:p>
    <w:p>
      <w:pPr>
        <w:pStyle w:val="25"/>
        <w:rPr>
          <w:rFonts w:hint="default" w:ascii="Tahoma" w:hAnsi="Tahoma" w:cs="Tahoma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Бардин Роман</w:t>
      </w:r>
    </w:p>
    <w:p>
      <w:pPr>
        <w:pStyle w:val="25"/>
        <w:rPr>
          <w:rFonts w:hint="default" w:ascii="Tahoma" w:hAnsi="Tahoma" w:cs="Tahoma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Телефон: +7 (925) 03-88-515</w:t>
      </w:r>
      <w:r>
        <w:rPr>
          <w:rFonts w:hint="default" w:ascii="Tahoma" w:hAnsi="Tahoma" w:cs="Tahoma"/>
          <w:i/>
          <w:color w:val="000000" w:themeColor="text1"/>
          <w:sz w:val="18"/>
          <w:szCs w:val="1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ahoma" w:hAnsi="Tahoma" w:cs="Tahoma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ahoma" w:hAnsi="Tahoma" w:cs="Tahoma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E-mail: </w:t>
      </w:r>
      <w:r>
        <w:rPr>
          <w:rFonts w:hint="default" w:ascii="Tahoma" w:hAnsi="Tahoma" w:cs="Tahoma"/>
          <w:i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pr</w:t>
      </w:r>
      <w:r>
        <w:rPr>
          <w:rFonts w:hint="default" w:ascii="Tahoma" w:hAnsi="Tahoma" w:cs="Tahoma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@flamax.ru</w:t>
      </w:r>
    </w:p>
    <w:sectPr>
      <w:headerReference r:id="rId3" w:type="default"/>
      <w:footerReference r:id="rId4" w:type="default"/>
      <w:pgSz w:w="11906" w:h="16838"/>
      <w:pgMar w:top="283" w:right="1133" w:bottom="1417" w:left="851" w:header="0" w:footer="1417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4900295</wp:posOffset>
          </wp:positionH>
          <wp:positionV relativeFrom="margin">
            <wp:posOffset>-592455</wp:posOffset>
          </wp:positionV>
          <wp:extent cx="2143760" cy="1076960"/>
          <wp:effectExtent l="0" t="0" r="8890" b="889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5" b="-2495"/>
                  <a:stretch>
                    <a:fillRect/>
                  </a:stretch>
                </pic:blipFill>
                <pic:spPr>
                  <a:xfrm>
                    <a:off x="0" y="0"/>
                    <a:ext cx="21437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-292100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0BBD2D93"/>
    <w:rsid w:val="120D3270"/>
    <w:rsid w:val="14320425"/>
    <w:rsid w:val="17C73864"/>
    <w:rsid w:val="19B46279"/>
    <w:rsid w:val="1A5A779B"/>
    <w:rsid w:val="2D071453"/>
    <w:rsid w:val="31782579"/>
    <w:rsid w:val="3EF47E89"/>
    <w:rsid w:val="472F25BE"/>
    <w:rsid w:val="4B8D3F92"/>
    <w:rsid w:val="52B7788C"/>
    <w:rsid w:val="567D33B2"/>
    <w:rsid w:val="5A636342"/>
    <w:rsid w:val="66A72663"/>
    <w:rsid w:val="6A0470E8"/>
    <w:rsid w:val="716F2D31"/>
    <w:rsid w:val="74082898"/>
    <w:rsid w:val="76CD440B"/>
    <w:rsid w:val="7D2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612</Words>
  <Characters>4010</Characters>
  <Lines>24</Lines>
  <Paragraphs>6</Paragraphs>
  <TotalTime>173</TotalTime>
  <ScaleCrop>false</ScaleCrop>
  <LinksUpToDate>false</LinksUpToDate>
  <CharactersWithSpaces>4588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2019-10-09T14:34:00Z</cp:lastPrinted>
  <dcterms:modified xsi:type="dcterms:W3CDTF">2019-10-14T11:08:18Z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