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b/>
        </w:rPr>
        <w:t>22-23 апреля в Москве</w:t>
      </w:r>
      <w:r>
        <w:t xml:space="preserve"> форум Blockchain Life 2020 собирает </w:t>
      </w:r>
      <w:r>
        <w:rPr>
          <w:b/>
        </w:rPr>
        <w:t xml:space="preserve">5000 участников </w:t>
      </w:r>
      <w:r>
        <w:t xml:space="preserve">и </w:t>
      </w:r>
      <w:r>
        <w:rPr>
          <w:highlight w:val="white"/>
        </w:rPr>
        <w:t>ведущие ко</w:t>
      </w:r>
      <w:r>
        <w:t>мпании индустрии</w:t>
      </w:r>
    </w:p>
    <w:p>
      <w:pPr>
        <w:spacing/>
        <w:jc w:val="center"/>
        <w:rPr>
          <w:b/>
        </w:rPr>
      </w:pPr>
      <w:r>
        <w:rPr>
          <w:b/>
        </w:rPr>
      </w:r>
    </w:p>
    <w:p>
      <w:r>
        <w:t>Крупнейшее событие по блокчейну, криптовалютам и майнингу в Европе состоится на инновационной площадке Music Media Dome.</w:t>
      </w:r>
    </w:p>
    <w:p>
      <w:pPr>
        <w:spacing/>
        <w:jc w:val="center"/>
      </w:pPr>
      <w:r/>
    </w:p>
    <w:p>
      <w:r>
        <w:rPr>
          <w:b/>
        </w:rPr>
        <w:t>22-23 Апреля</w:t>
      </w:r>
      <w:r>
        <w:t xml:space="preserve"> Blockchain Life 2020 собирает 5000 участников из 70 стран. Среди них: бизнесмены из криптоиндустрии и классического бизнеса, инвесторы, майнеры, блокчейн-разработчики, основатели инновационных стартапов, представители государственной власти и все те, кто хочет познакомиться с одной из самых перспективных сфер современности.</w:t>
      </w:r>
    </w:p>
    <w:p>
      <w:r/>
    </w:p>
    <w:p>
      <w:r>
        <w:rPr>
          <w:b/>
        </w:rPr>
        <w:t>Узнать подробнее и купить билет по акционной цене</w:t>
      </w:r>
      <w:r>
        <w:t xml:space="preserve">: </w:t>
      </w:r>
      <w:hyperlink r:id="rId8" w:history="1">
        <w:r>
          <w:rPr>
            <w:color w:val="1155cc"/>
            <w:u w:color="auto" w:val="single"/>
          </w:rPr>
          <w:t>https://blockchain-life.com/europe/ru/</w:t>
        </w:r>
      </w:hyperlink>
      <w:r>
        <w:br w:type="textWrapping"/>
        <w:br w:type="textWrapping"/>
      </w:r>
      <w:r>
        <w:rPr>
          <w:highlight w:val="white"/>
        </w:rPr>
        <w:t>В рамках Blockchain Life 2020 будет обсуждено: развитие блокчейна и его внедрение в бизнес, анализ актуальных способов заработка в области криптовалют, трейдинга и майнинга. Важной задачей форума является создание площадки для диалога между отраслевым сообществом и государственными структурами.</w:t>
      </w:r>
      <w:r/>
    </w:p>
    <w:p>
      <w:r/>
    </w:p>
    <w:p>
      <w:pPr>
        <w:rPr>
          <w:highlight w:val="white"/>
        </w:rPr>
      </w:pPr>
      <w:r>
        <w:rPr>
          <w:highlight w:val="white"/>
        </w:rPr>
        <w:t xml:space="preserve">Одно из самых ожидаемых событий форума — эксклюзивное выступление </w:t>
      </w:r>
      <w:r>
        <w:rPr>
          <w:b/>
          <w:highlight w:val="white"/>
        </w:rPr>
        <w:t>Яна Балины</w:t>
      </w:r>
      <w:r>
        <w:rPr>
          <w:highlight w:val="white"/>
        </w:rPr>
        <w:t xml:space="preserve"> </w:t>
      </w:r>
      <w:r>
        <w:rPr>
          <w:highlight w:val="white"/>
        </w:rPr>
        <w:t xml:space="preserve">— известного блогера, </w:t>
      </w:r>
      <w:r>
        <w:rPr>
          <w:highlight w:val="white"/>
        </w:rPr>
        <w:t>блокчейн-предпринимателя и инвестора с мировым имене</w:t>
      </w:r>
      <w:r>
        <w:rPr>
          <w:highlight w:val="white"/>
        </w:rPr>
        <w:t>м.</w:t>
      </w:r>
      <w:r>
        <w:rPr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  <w:t xml:space="preserve">Среди спикеров форума: </w:t>
      </w:r>
    </w:p>
    <w:p>
      <w:pPr>
        <w:rPr>
          <w:highlight w:val="white"/>
        </w:rPr>
      </w:pPr>
      <w:r>
        <w:rPr>
          <w:highlight w:val="white"/>
        </w:rPr>
      </w:r>
    </w:p>
    <w:p>
      <w:pPr>
        <w:numPr>
          <w:ilvl w:val="0"/>
          <w:numId w:val="1"/>
        </w:numPr>
        <w:ind w:left="720" w:hanging="360"/>
        <w:rPr>
          <w:highlight w:val="white"/>
        </w:rPr>
      </w:pPr>
      <w:r>
        <w:rPr>
          <w:b/>
          <w:highlight w:val="white"/>
        </w:rPr>
        <w:t>Руслан Енсебаев</w:t>
      </w:r>
      <w:r>
        <w:rPr>
          <w:highlight w:val="white"/>
        </w:rPr>
        <w:t xml:space="preserve"> (вице-министр финансов Республики Казахстан); </w:t>
      </w:r>
    </w:p>
    <w:p>
      <w:pPr>
        <w:numPr>
          <w:ilvl w:val="0"/>
          <w:numId w:val="1"/>
        </w:numPr>
        <w:ind w:left="720" w:hanging="360"/>
        <w:rPr>
          <w:highlight w:val="white"/>
        </w:rPr>
      </w:pPr>
      <w:r>
        <w:rPr>
          <w:b/>
          <w:highlight w:val="white"/>
        </w:rPr>
        <w:t>Хоселит Рамирез</w:t>
      </w:r>
      <w:r>
        <w:rPr>
          <w:highlight w:val="white"/>
        </w:rPr>
        <w:t xml:space="preserve"> (глава республиканского ведомства криптоактивов Венесуэлы, El Petro);</w:t>
      </w:r>
    </w:p>
    <w:p>
      <w:pPr>
        <w:numPr>
          <w:ilvl w:val="0"/>
          <w:numId w:val="1"/>
        </w:numPr>
        <w:ind w:left="720" w:hanging="360"/>
      </w:pPr>
      <w:r>
        <w:rPr>
          <w:b/>
          <w:highlight w:val="white"/>
        </w:rPr>
        <w:t>Сергей Хитров</w:t>
      </w:r>
      <w:r>
        <w:t xml:space="preserve"> (основатель Listing.help);</w:t>
      </w:r>
    </w:p>
    <w:p>
      <w:pPr>
        <w:numPr>
          <w:ilvl w:val="0"/>
          <w:numId w:val="1"/>
        </w:numPr>
        <w:ind w:left="720" w:hanging="360"/>
        <w:rPr>
          <w:highlight w:val="white"/>
        </w:rPr>
      </w:pPr>
      <w:r>
        <w:rPr>
          <w:b/>
          <w:highlight w:val="white"/>
        </w:rPr>
        <w:t>Александр Бородич</w:t>
      </w:r>
      <w:r>
        <w:rPr>
          <w:highlight w:val="white"/>
        </w:rPr>
        <w:t xml:space="preserve"> (основатель Universa);</w:t>
      </w:r>
    </w:p>
    <w:p>
      <w:pPr>
        <w:numPr>
          <w:ilvl w:val="0"/>
          <w:numId w:val="1"/>
        </w:numPr>
        <w:ind w:left="720" w:hanging="360"/>
        <w:rPr>
          <w:highlight w:val="white"/>
        </w:rPr>
      </w:pPr>
      <w:r>
        <w:rPr>
          <w:b/>
          <w:highlight w:val="white"/>
        </w:rPr>
        <w:t>Рауан Хассан</w:t>
      </w:r>
      <w:r>
        <w:rPr>
          <w:highlight w:val="white"/>
        </w:rPr>
        <w:t xml:space="preserve"> (VP TradingView);</w:t>
      </w:r>
    </w:p>
    <w:p>
      <w:pPr>
        <w:numPr>
          <w:ilvl w:val="0"/>
          <w:numId w:val="1"/>
        </w:numPr>
        <w:ind w:left="720" w:hanging="360"/>
        <w:rPr>
          <w:highlight w:val="white"/>
        </w:rPr>
      </w:pPr>
      <w:r>
        <w:rPr>
          <w:b/>
          <w:highlight w:val="white"/>
        </w:rPr>
        <w:t xml:space="preserve">Артем Калихов </w:t>
      </w:r>
      <w:r>
        <w:rPr>
          <w:highlight w:val="white"/>
        </w:rPr>
        <w:t>(CPO Waves) и другие.</w:t>
      </w:r>
      <w:r>
        <w:rPr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  <w:t>Участников ждут два дня продуктивного нетворкинга c топ-менеджментом ведущих компаний отрасли</w:t>
      </w:r>
      <w:r>
        <w:rPr>
          <w:highlight w:val="white"/>
        </w:rPr>
        <w:t xml:space="preserve">: </w:t>
      </w:r>
      <w:r>
        <w:rPr>
          <w:b/>
          <w:highlight w:val="white"/>
        </w:rPr>
        <w:t>Binance</w:t>
      </w:r>
      <w:r>
        <w:rPr>
          <w:highlight w:val="white"/>
        </w:rPr>
        <w:t>,</w:t>
      </w:r>
      <w:r>
        <w:rPr>
          <w:b/>
          <w:highlight w:val="white"/>
        </w:rPr>
        <w:t xml:space="preserve"> BitForex</w:t>
      </w:r>
      <w:r>
        <w:rPr>
          <w:highlight w:val="white"/>
        </w:rPr>
        <w:t xml:space="preserve">, </w:t>
      </w:r>
      <w:r>
        <w:rPr>
          <w:b/>
          <w:highlight w:val="white"/>
        </w:rPr>
        <w:t>Listing.help</w:t>
      </w:r>
      <w:r>
        <w:rPr>
          <w:highlight w:val="white"/>
        </w:rPr>
        <w:t xml:space="preserve">, </w:t>
      </w:r>
      <w:r>
        <w:rPr>
          <w:b/>
          <w:highlight w:val="white"/>
        </w:rPr>
        <w:t>Trading View</w:t>
      </w:r>
      <w:r>
        <w:rPr>
          <w:highlight w:val="white"/>
        </w:rPr>
        <w:t>,</w:t>
      </w:r>
      <w:r>
        <w:rPr>
          <w:b/>
          <w:highlight w:val="white"/>
        </w:rPr>
        <w:t xml:space="preserve"> Huobi</w:t>
      </w:r>
      <w:r>
        <w:rPr>
          <w:highlight w:val="white"/>
        </w:rPr>
        <w:t>,</w:t>
      </w:r>
      <w:r>
        <w:rPr>
          <w:b/>
          <w:highlight w:val="white"/>
        </w:rPr>
        <w:t xml:space="preserve"> KuCoin</w:t>
      </w:r>
      <w:r>
        <w:rPr>
          <w:highlight w:val="white"/>
        </w:rPr>
        <w:t>,</w:t>
      </w:r>
      <w:r>
        <w:rPr>
          <w:b/>
          <w:highlight w:val="white"/>
        </w:rPr>
        <w:t xml:space="preserve"> B2Broker</w:t>
      </w:r>
      <w:r>
        <w:rPr>
          <w:highlight w:val="white"/>
        </w:rPr>
        <w:t xml:space="preserve">, </w:t>
      </w:r>
      <w:r>
        <w:rPr>
          <w:b/>
          <w:highlight w:val="white"/>
        </w:rPr>
        <w:t>Bitmain</w:t>
      </w:r>
      <w:r>
        <w:rPr>
          <w:highlight w:val="white"/>
        </w:rPr>
        <w:t xml:space="preserve">, </w:t>
      </w:r>
      <w:r>
        <w:rPr>
          <w:b/>
          <w:highlight w:val="white"/>
        </w:rPr>
        <w:t>Газпром Нефть</w:t>
      </w:r>
      <w:r>
        <w:rPr>
          <w:highlight w:val="white"/>
        </w:rPr>
        <w:t xml:space="preserve"> и многими </w:t>
      </w:r>
      <w:r>
        <w:rPr>
          <w:highlight w:val="white"/>
        </w:rPr>
        <w:t>другими</w:t>
      </w:r>
      <w:r>
        <w:rPr>
          <w:highlight w:val="white"/>
        </w:rPr>
        <w:t>.</w:t>
      </w:r>
      <w:r>
        <w:rPr>
          <w:highlight w:val="white"/>
        </w:rPr>
        <w:t xml:space="preserve"> </w:t>
      </w:r>
      <w:r>
        <w:rPr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</w:r>
    </w:p>
    <w:p>
      <w:r>
        <w:t>Выбирайте свой вариант участия уже сейчас, пока билеты есть в наличии:</w:t>
        <w:br w:type="textWrapping"/>
      </w:r>
      <w:hyperlink r:id="rId9" w:history="1">
        <w:r>
          <w:rPr>
            <w:color w:val="1155cc"/>
            <w:u w:color="auto" w:val="single"/>
          </w:rPr>
          <w:t>https://blockchain-life.com/europe/ru/</w:t>
        </w:r>
      </w:hyperlink>
      <w:r>
        <w:t>.</w:t>
      </w:r>
    </w:p>
    <w:p>
      <w:r/>
    </w:p>
    <w:p>
      <w:r>
        <w:t xml:space="preserve">Организатором события года является ведущее мировое агентство по листингу на криптобиржах </w:t>
      </w:r>
      <w:hyperlink r:id="rId10" w:history="1">
        <w:r>
          <w:rPr>
            <w:color w:val="1155cc"/>
            <w:u w:color="auto" w:val="single"/>
          </w:rPr>
          <w:t>Listing.help</w:t>
        </w:r>
      </w:hyperlink>
      <w:r>
        <w:t xml:space="preserve"> и международная ассоциация</w:t>
      </w:r>
      <w:hyperlink r:id="rId11" w:history="1">
        <w:r>
          <w:t xml:space="preserve"> </w:t>
        </w:r>
      </w:hyperlink>
      <w:hyperlink r:id="rId12" w:history="1">
        <w:r>
          <w:rPr>
            <w:color w:val="1155cc"/>
            <w:u w:color="auto" w:val="single"/>
          </w:rPr>
          <w:t>Ideo.one</w:t>
        </w:r>
      </w:hyperlink>
      <w:r>
        <w:t xml:space="preserve">. Генеральным спонсором выступает криптовалютная биржа </w:t>
      </w:r>
      <w:hyperlink r:id="rId13" w:history="1">
        <w:r>
          <w:rPr>
            <w:color w:val="1155cc"/>
            <w:u w:color="auto" w:val="single"/>
          </w:rPr>
          <w:t>BitForex.com</w:t>
        </w:r>
      </w:hyperlink>
      <w:r>
        <w:t>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4" w:w="11909"/>
      <w:pgMar w:left="1440" w:top="1440" w:right="1440" w:bottom="1440"/>
      <w:paperSrc w:first="0" w:other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Pr>
          <w:u w:color="auto" w:val="none"/>
        </w:rPr>
      </w:rPr>
    </w:lvl>
    <w:lvl w:ilvl="1">
      <w:numFmt w:val="bullet"/>
      <w:suff w:val="tab"/>
      <w:lvlText w:val="-"/>
      <w:lvlJc w:val="left"/>
      <w:pPr>
        <w:ind w:left="1080" w:hanging="0"/>
      </w:pPr>
      <w:rPr>
        <w:rPr>
          <w:u w:color="auto" w:val="none"/>
        </w:rPr>
      </w:rPr>
    </w:lvl>
    <w:lvl w:ilvl="2">
      <w:numFmt w:val="bullet"/>
      <w:suff w:val="tab"/>
      <w:lvlText w:val="-"/>
      <w:lvlJc w:val="left"/>
      <w:pPr>
        <w:ind w:left="1800" w:hanging="0"/>
      </w:pPr>
      <w:rPr>
        <w:rPr>
          <w:u w:color="auto" w:val="none"/>
        </w:rPr>
      </w:rPr>
    </w:lvl>
    <w:lvl w:ilvl="3">
      <w:numFmt w:val="bullet"/>
      <w:suff w:val="tab"/>
      <w:lvlText w:val="-"/>
      <w:lvlJc w:val="left"/>
      <w:pPr>
        <w:ind w:left="2520" w:hanging="0"/>
      </w:pPr>
      <w:rPr>
        <w:rPr>
          <w:u w:color="auto" w:val="none"/>
        </w:rPr>
      </w:rPr>
    </w:lvl>
    <w:lvl w:ilvl="4">
      <w:numFmt w:val="bullet"/>
      <w:suff w:val="tab"/>
      <w:lvlText w:val="-"/>
      <w:lvlJc w:val="left"/>
      <w:pPr>
        <w:ind w:left="3240" w:hanging="0"/>
      </w:pPr>
      <w:rPr>
        <w:rPr>
          <w:u w:color="auto" w:val="none"/>
        </w:rPr>
      </w:rPr>
    </w:lvl>
    <w:lvl w:ilvl="5">
      <w:numFmt w:val="bullet"/>
      <w:suff w:val="tab"/>
      <w:lvlText w:val="-"/>
      <w:lvlJc w:val="left"/>
      <w:pPr>
        <w:ind w:left="3960" w:hanging="0"/>
      </w:pPr>
      <w:rPr>
        <w:rPr>
          <w:u w:color="auto" w:val="none"/>
        </w:rPr>
      </w:rPr>
    </w:lvl>
    <w:lvl w:ilvl="6">
      <w:numFmt w:val="bullet"/>
      <w:suff w:val="tab"/>
      <w:lvlText w:val="-"/>
      <w:lvlJc w:val="left"/>
      <w:pPr>
        <w:ind w:left="4680" w:hanging="0"/>
      </w:pPr>
      <w:rPr>
        <w:rPr>
          <w:u w:color="auto" w:val="none"/>
        </w:rPr>
      </w:rPr>
    </w:lvl>
    <w:lvl w:ilvl="7">
      <w:numFmt w:val="bullet"/>
      <w:suff w:val="tab"/>
      <w:lvlText w:val="-"/>
      <w:lvlJc w:val="left"/>
      <w:pPr>
        <w:ind w:left="5400" w:hanging="0"/>
      </w:pPr>
      <w:rPr>
        <w:rPr>
          <w:u w:color="auto" w:val="none"/>
        </w:rPr>
      </w:rPr>
    </w:lvl>
    <w:lvl w:ilvl="8">
      <w:numFmt w:val="bullet"/>
      <w:suff w:val="tab"/>
      <w:lvlText w:val="-"/>
      <w:lvlJc w:val="left"/>
      <w:pPr>
        <w:ind w:left="6120" w:hanging="0"/>
      </w:pPr>
      <w:rPr>
        <w:rPr>
          <w:u w:color="auto" w:val="none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206"/>
    </w:tmLastPosCaret>
    <w:tmLastPosAnchor>
      <w:tmLastPosPgfIdx w:val="0"/>
      <w:tmLastPosIdx w:val="0"/>
    </w:tmLastPosAnchor>
    <w:tmLastPosTblRect w:left="0" w:top="0" w:right="0" w:bottom="0"/>
  </w:tmLastPos>
  <w:tmAppRevision w:date="1580239299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</w:pPr>
  </w:style>
  <w:style w:type="paragraph" w:styleId="para4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5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6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7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8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9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10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11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</w:pPr>
  </w:style>
  <w:style w:type="paragraph" w:styleId="para4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5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6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7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8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9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10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11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blockchain-life.com/europe/ru/" TargetMode="External"/><Relationship Id="rId9" Type="http://schemas.openxmlformats.org/officeDocument/2006/relationships/hyperlink" Target="https://blockchain-life.com/europe/ru/" TargetMode="External"/><Relationship Id="rId10" Type="http://schemas.openxmlformats.org/officeDocument/2006/relationships/hyperlink" Target="https://listing.help/" TargetMode="External"/><Relationship Id="rId11" Type="http://schemas.openxmlformats.org/officeDocument/2006/relationships/hyperlink" Target="http://ideo.one/" TargetMode="External"/><Relationship Id="rId12" Type="http://schemas.openxmlformats.org/officeDocument/2006/relationships/hyperlink" Target="https://ideo.one/" TargetMode="External"/><Relationship Id="rId13" Type="http://schemas.openxmlformats.org/officeDocument/2006/relationships/hyperlink" Target="https://bitfor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</cp:revision>
  <dcterms:created xsi:type="dcterms:W3CDTF">2020-01-28T18:18:36Z</dcterms:created>
  <dcterms:modified xsi:type="dcterms:W3CDTF">2020-01-28T19:21:39Z</dcterms:modified>
</cp:coreProperties>
</file>