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3CD43" w14:textId="684B058E" w:rsidR="00AB7F31" w:rsidRPr="00AB7F31" w:rsidRDefault="00AB7F31" w:rsidP="00AB7F31">
      <w:pPr>
        <w:jc w:val="center"/>
        <w:rPr>
          <w:rFonts w:ascii="Times New Roman" w:hAnsi="Times New Roman" w:cs="Times New Roman"/>
          <w:b/>
        </w:rPr>
      </w:pPr>
      <w:proofErr w:type="gramStart"/>
      <w:r w:rsidRPr="00AB7F31">
        <w:rPr>
          <w:rFonts w:ascii="Times New Roman" w:hAnsi="Times New Roman" w:cs="Times New Roman"/>
          <w:b/>
        </w:rPr>
        <w:t>Анализ  российского</w:t>
      </w:r>
      <w:proofErr w:type="gramEnd"/>
      <w:r w:rsidRPr="00AB7F31">
        <w:rPr>
          <w:rFonts w:ascii="Times New Roman" w:hAnsi="Times New Roman" w:cs="Times New Roman"/>
          <w:b/>
        </w:rPr>
        <w:t xml:space="preserve"> рынка комбикорма:  итоги 2019 г., прогноз до 2022 г.</w:t>
      </w:r>
    </w:p>
    <w:p w14:paraId="2B566041" w14:textId="77777777" w:rsidR="00AB7F31" w:rsidRPr="00AB7F31" w:rsidRDefault="00AB7F31" w:rsidP="00AB7F31">
      <w:pPr>
        <w:jc w:val="both"/>
        <w:rPr>
          <w:rFonts w:ascii="Times New Roman" w:hAnsi="Times New Roman" w:cs="Times New Roman"/>
          <w:b/>
        </w:rPr>
      </w:pPr>
    </w:p>
    <w:p w14:paraId="2BB75A15" w14:textId="77777777" w:rsidR="00AB7F31" w:rsidRPr="00AB7F31" w:rsidRDefault="00AB7F31" w:rsidP="00AB7F31">
      <w:pPr>
        <w:jc w:val="both"/>
        <w:rPr>
          <w:rFonts w:ascii="Times New Roman" w:hAnsi="Times New Roman" w:cs="Times New Roman"/>
          <w:b/>
        </w:rPr>
      </w:pPr>
      <w:r w:rsidRPr="00AB7F31">
        <w:rPr>
          <w:rFonts w:ascii="Times New Roman" w:hAnsi="Times New Roman" w:cs="Times New Roman"/>
          <w:b/>
        </w:rPr>
        <w:t>В июле 2020 г. исследовательская компания NeoAnalytics завершила проведение маркетингового исследования российского рынка комбикорма.</w:t>
      </w:r>
    </w:p>
    <w:p w14:paraId="3407A182" w14:textId="77777777" w:rsidR="00AB7F31" w:rsidRPr="00AB7F31" w:rsidRDefault="00AB7F31" w:rsidP="00AB7F31">
      <w:pPr>
        <w:jc w:val="both"/>
        <w:rPr>
          <w:rFonts w:ascii="Times New Roman" w:hAnsi="Times New Roman" w:cs="Times New Roman"/>
          <w:b/>
        </w:rPr>
      </w:pPr>
    </w:p>
    <w:p w14:paraId="23CBD5D0" w14:textId="77777777" w:rsidR="00AB7F31" w:rsidRPr="00AB7F31" w:rsidRDefault="00AB7F31" w:rsidP="00AB7F31">
      <w:pPr>
        <w:jc w:val="both"/>
        <w:rPr>
          <w:rFonts w:ascii="Times New Roman" w:hAnsi="Times New Roman" w:cs="Times New Roman"/>
          <w:b/>
        </w:rPr>
      </w:pPr>
      <w:r w:rsidRPr="00AB7F31">
        <w:rPr>
          <w:rFonts w:ascii="Times New Roman" w:hAnsi="Times New Roman" w:cs="Times New Roman"/>
          <w:b/>
        </w:rPr>
        <w:t xml:space="preserve">В ходе исследования, проведенного NeoAnalytics на тему “Российский рынок комбикорма: итоги 2019 г., прогноз до 2022 г.», выяснилось, что в 2019 г. объем российского рынка комбикорма рос в основном за счет экспорта.  Наметившаяся в 2018 г. положительная динамика после значительного ухудшения в 2017 г. (сокращение составило -24%) продолжилась и в 2019 г. </w:t>
      </w:r>
    </w:p>
    <w:p w14:paraId="5DD66161" w14:textId="77777777" w:rsidR="00AB7F31" w:rsidRPr="00AB7F31" w:rsidRDefault="00AB7F31" w:rsidP="00AB7F31">
      <w:pPr>
        <w:jc w:val="both"/>
        <w:rPr>
          <w:rFonts w:ascii="Times New Roman" w:hAnsi="Times New Roman" w:cs="Times New Roman"/>
          <w:b/>
        </w:rPr>
      </w:pPr>
    </w:p>
    <w:p w14:paraId="0462B7C2" w14:textId="77777777" w:rsidR="00AB7F31" w:rsidRPr="00AB7F31" w:rsidRDefault="00AB7F31" w:rsidP="00AB7F31">
      <w:pPr>
        <w:jc w:val="both"/>
        <w:rPr>
          <w:rFonts w:ascii="Times New Roman" w:hAnsi="Times New Roman" w:cs="Times New Roman"/>
          <w:b/>
        </w:rPr>
      </w:pPr>
      <w:r w:rsidRPr="00AB7F31">
        <w:rPr>
          <w:rFonts w:ascii="Times New Roman" w:hAnsi="Times New Roman" w:cs="Times New Roman"/>
          <w:b/>
        </w:rPr>
        <w:t xml:space="preserve">Необходимо отметить, что доля экспорта комбикормов составляет всего 0,2% от объема производства. Вся произведенная продукция потребляется внутри страны. Наивысший прирост в экспортных поставках наблюдался в 2012 г., когда объем увеличился на 74,9% по отношению к аналогичному показателю 2011 г. </w:t>
      </w:r>
    </w:p>
    <w:p w14:paraId="5A304812" w14:textId="77777777" w:rsidR="00AB7F31" w:rsidRPr="00AB7F31" w:rsidRDefault="00AB7F31" w:rsidP="00AB7F31">
      <w:pPr>
        <w:jc w:val="both"/>
        <w:rPr>
          <w:rFonts w:ascii="Times New Roman" w:hAnsi="Times New Roman" w:cs="Times New Roman"/>
          <w:b/>
        </w:rPr>
      </w:pPr>
    </w:p>
    <w:p w14:paraId="0949B608" w14:textId="77777777" w:rsidR="00AB7F31" w:rsidRPr="00AB7F31" w:rsidRDefault="00AB7F31" w:rsidP="00AB7F31">
      <w:pPr>
        <w:jc w:val="both"/>
        <w:rPr>
          <w:rFonts w:ascii="Times New Roman" w:hAnsi="Times New Roman" w:cs="Times New Roman"/>
          <w:b/>
        </w:rPr>
      </w:pPr>
      <w:r w:rsidRPr="00AB7F31">
        <w:rPr>
          <w:rFonts w:ascii="Times New Roman" w:hAnsi="Times New Roman" w:cs="Times New Roman"/>
          <w:b/>
        </w:rPr>
        <w:t xml:space="preserve">Особенностью российского рынка производства комбикорма является лидерство вертикально интегрированных сельскохозяйственных компаний с полным циклом производства, начиная от выращивания </w:t>
      </w:r>
      <w:proofErr w:type="spellStart"/>
      <w:r w:rsidRPr="00AB7F31">
        <w:rPr>
          <w:rFonts w:ascii="Times New Roman" w:hAnsi="Times New Roman" w:cs="Times New Roman"/>
          <w:b/>
        </w:rPr>
        <w:t>агрокультур</w:t>
      </w:r>
      <w:proofErr w:type="spellEnd"/>
      <w:r w:rsidRPr="00AB7F31">
        <w:rPr>
          <w:rFonts w:ascii="Times New Roman" w:hAnsi="Times New Roman" w:cs="Times New Roman"/>
          <w:b/>
        </w:rPr>
        <w:t xml:space="preserve">, производства комбикормов и заканчивая выпуском готовой животноводческой продукции. В 2019 году ТОП-25 производителей комбикормов занимали 54,5% рынка в натуральном выражении. </w:t>
      </w:r>
      <w:proofErr w:type="gramStart"/>
      <w:r w:rsidRPr="00AB7F31">
        <w:rPr>
          <w:rFonts w:ascii="Times New Roman" w:hAnsi="Times New Roman" w:cs="Times New Roman"/>
          <w:b/>
        </w:rPr>
        <w:t>Среди  ведущих</w:t>
      </w:r>
      <w:proofErr w:type="gramEnd"/>
      <w:r w:rsidRPr="00AB7F31">
        <w:rPr>
          <w:rFonts w:ascii="Times New Roman" w:hAnsi="Times New Roman" w:cs="Times New Roman"/>
          <w:b/>
        </w:rPr>
        <w:t xml:space="preserve"> компаний 80% вертикально интегрированных агрохолдинга и 20% независимых производителя комбикормов. </w:t>
      </w:r>
    </w:p>
    <w:p w14:paraId="6BD8FC10" w14:textId="77777777" w:rsidR="00AB7F31" w:rsidRPr="00AB7F31" w:rsidRDefault="00AB7F31" w:rsidP="00AB7F31">
      <w:pPr>
        <w:jc w:val="both"/>
        <w:rPr>
          <w:rFonts w:ascii="Times New Roman" w:hAnsi="Times New Roman" w:cs="Times New Roman"/>
          <w:b/>
        </w:rPr>
      </w:pPr>
    </w:p>
    <w:p w14:paraId="7E4AE3A0" w14:textId="77777777" w:rsidR="00AB7F31" w:rsidRPr="00AB7F31" w:rsidRDefault="00AB7F31" w:rsidP="00AB7F31">
      <w:pPr>
        <w:jc w:val="both"/>
        <w:rPr>
          <w:rFonts w:ascii="Times New Roman" w:hAnsi="Times New Roman" w:cs="Times New Roman"/>
          <w:b/>
        </w:rPr>
      </w:pPr>
      <w:r w:rsidRPr="00AB7F31">
        <w:rPr>
          <w:rFonts w:ascii="Times New Roman" w:hAnsi="Times New Roman" w:cs="Times New Roman"/>
          <w:b/>
        </w:rPr>
        <w:t>В перспективе продолжится консолидация комбикормовых заводов и животноводческого сектора. Снизится доля независимых заводов, так как спрос на их продукцию будет сокращаться. Рынок постепенно будет концентрироваться в агрохолдингах.</w:t>
      </w:r>
    </w:p>
    <w:p w14:paraId="1A0B6E08" w14:textId="77777777" w:rsidR="00AB7F31" w:rsidRPr="00AB7F31" w:rsidRDefault="00AB7F31" w:rsidP="00AB7F31">
      <w:pPr>
        <w:jc w:val="both"/>
        <w:rPr>
          <w:rFonts w:ascii="Times New Roman" w:hAnsi="Times New Roman" w:cs="Times New Roman"/>
          <w:b/>
        </w:rPr>
      </w:pPr>
    </w:p>
    <w:p w14:paraId="50E35926" w14:textId="4388FAF4" w:rsidR="002F5F03" w:rsidRPr="00AB7F31" w:rsidRDefault="00AB7F31" w:rsidP="00AB7F31">
      <w:pPr>
        <w:jc w:val="both"/>
        <w:rPr>
          <w:rFonts w:ascii="Times New Roman" w:hAnsi="Times New Roman" w:cs="Times New Roman"/>
        </w:rPr>
      </w:pPr>
      <w:r w:rsidRPr="00AB7F31">
        <w:rPr>
          <w:rFonts w:ascii="Times New Roman" w:hAnsi="Times New Roman" w:cs="Times New Roman"/>
          <w:b/>
        </w:rPr>
        <w:t>Более подробно с результатами исследования можно ознакомиться на официальном сайте www.neoanalytics.ru</w:t>
      </w:r>
    </w:p>
    <w:sectPr w:rsidR="002F5F03" w:rsidRPr="00AB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16"/>
    <w:rsid w:val="002F5F03"/>
    <w:rsid w:val="00AB7F31"/>
    <w:rsid w:val="00F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26B2"/>
  <w15:chartTrackingRefBased/>
  <w15:docId w15:val="{740A3D34-67CC-4609-813F-D1EB440B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2020-08-06T17:56:00Z</dcterms:created>
  <dcterms:modified xsi:type="dcterms:W3CDTF">2020-08-06T17:56:00Z</dcterms:modified>
</cp:coreProperties>
</file>