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C" w:rsidRPr="00F747BC" w:rsidRDefault="00F747BC" w:rsidP="00F747B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747BC">
        <w:rPr>
          <w:rFonts w:ascii="Times New Roman" w:hAnsi="Times New Roman"/>
          <w:b/>
          <w:sz w:val="24"/>
          <w:szCs w:val="24"/>
        </w:rPr>
        <w:t>Объем нового бизнеса «Балтийского лизинга» по итогам девяти месяцев вырос на 15,7%</w:t>
      </w:r>
    </w:p>
    <w:p w:rsidR="00F747BC" w:rsidRPr="00F747BC" w:rsidRDefault="00763043" w:rsidP="00F747BC">
      <w:pPr>
        <w:spacing w:after="240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47B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F747BC" w:rsidRPr="00F747BC">
        <w:rPr>
          <w:rFonts w:ascii="Times New Roman" w:hAnsi="Times New Roman"/>
          <w:b/>
          <w:sz w:val="24"/>
          <w:szCs w:val="24"/>
        </w:rPr>
        <w:t>8</w:t>
      </w:r>
      <w:r w:rsidR="000A6CD0" w:rsidRPr="00F747BC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F747BC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F747BC">
        <w:rPr>
          <w:rFonts w:ascii="Times New Roman" w:hAnsi="Times New Roman"/>
          <w:b/>
          <w:sz w:val="24"/>
          <w:szCs w:val="24"/>
        </w:rPr>
        <w:t>2020</w:t>
      </w:r>
      <w:r w:rsidRPr="00F747BC">
        <w:rPr>
          <w:rFonts w:ascii="Times New Roman" w:hAnsi="Times New Roman"/>
          <w:b/>
          <w:sz w:val="24"/>
          <w:szCs w:val="24"/>
        </w:rPr>
        <w:t xml:space="preserve"> года.</w:t>
      </w:r>
      <w:r w:rsidRPr="00F747BC">
        <w:rPr>
          <w:rFonts w:ascii="Times New Roman" w:hAnsi="Times New Roman"/>
          <w:sz w:val="24"/>
          <w:szCs w:val="24"/>
        </w:rPr>
        <w:t xml:space="preserve"> </w:t>
      </w:r>
      <w:r w:rsidR="00F747BC" w:rsidRPr="00F74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трех кварталов 2020 года объем нового бизнеса (стоимость лизингового имущества без НДС) компании «Балтийский лизинг» превысил 45,6 </w:t>
      </w:r>
      <w:proofErr w:type="spellStart"/>
      <w:proofErr w:type="gramStart"/>
      <w:r w:rsidR="00F747BC" w:rsidRPr="00F747BC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spellEnd"/>
      <w:proofErr w:type="gramEnd"/>
      <w:r w:rsidR="00F747BC" w:rsidRPr="00F74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рублей, что на 15,7% больше аналогичного показателя 2019 года. </w:t>
      </w:r>
    </w:p>
    <w:p w:rsidR="00F747BC" w:rsidRPr="00F747BC" w:rsidRDefault="00F747BC" w:rsidP="00F747BC">
      <w:pPr>
        <w:spacing w:after="240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4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за отчетный период компания заключила 15580 сделок, что на 8,3% больше, чем по итогам девяти месяцев прошлого года. В топ наиболее популярных предметов традиционно вошли: автотранспорт, строительная и сельскохозяйственная техника, также лизингополучатели часто заключали договоры, предметами которых становилось оборудование для тяжелой промышленности. </w:t>
      </w:r>
    </w:p>
    <w:p w:rsidR="00F747BC" w:rsidRPr="00F747BC" w:rsidRDefault="00F747BC" w:rsidP="00F747BC">
      <w:pPr>
        <w:spacing w:after="240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47BC">
        <w:rPr>
          <w:rFonts w:ascii="Times New Roman" w:eastAsia="Times New Roman" w:hAnsi="Times New Roman"/>
          <w:bCs/>
          <w:sz w:val="24"/>
          <w:szCs w:val="24"/>
          <w:lang w:eastAsia="ru-RU"/>
        </w:rPr>
        <w:t>Доли этих сегментов в общем объеме нового бизнеса компании распределились следующим образом: на первом месте автотранспорт (54%), на втором – строительная и дорожно-строительная техника (16,5%), на третьем – сельскохозяйственная техника(5%). На долю сегмента промышленного оборудования (машиностроительного, металлообрабатывающего и металлургического) приходится 3,4%.</w:t>
      </w:r>
    </w:p>
    <w:p w:rsidR="00AE6084" w:rsidRPr="0064059E" w:rsidRDefault="00BC47D2" w:rsidP="00F74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AB5B57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AB5B5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648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353C-A2F5-47E2-B0A0-B0822EB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424</cp:revision>
  <dcterms:created xsi:type="dcterms:W3CDTF">2018-07-26T07:30:00Z</dcterms:created>
  <dcterms:modified xsi:type="dcterms:W3CDTF">2020-10-08T10:49:00Z</dcterms:modified>
</cp:coreProperties>
</file>