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E4" w:rsidRDefault="007635E4" w:rsidP="007635E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/>
          <w:b/>
          <w:bCs/>
          <w:noProof/>
        </w:rPr>
        <w:drawing>
          <wp:anchor distT="57150" distB="57150" distL="57150" distR="57150" simplePos="0" relativeHeight="251659264" behindDoc="0" locked="0" layoutInCell="1" allowOverlap="1" wp14:anchorId="1D6084D7" wp14:editId="1AD4E727">
            <wp:simplePos x="0" y="0"/>
            <wp:positionH relativeFrom="page">
              <wp:posOffset>929842</wp:posOffset>
            </wp:positionH>
            <wp:positionV relativeFrom="page">
              <wp:posOffset>931545</wp:posOffset>
            </wp:positionV>
            <wp:extent cx="1595931" cy="504001"/>
            <wp:effectExtent l="0" t="0" r="0" b="0"/>
            <wp:wrapSquare wrapText="bothSides" distT="57150" distB="57150" distL="57150" distR="5715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95931" cy="504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635E4" w:rsidRDefault="007635E4" w:rsidP="007635E4">
      <w:pPr>
        <w:pStyle w:val="1"/>
        <w:rPr>
          <w:rFonts w:ascii="Arial" w:hAnsi="Arial"/>
        </w:rPr>
      </w:pPr>
    </w:p>
    <w:p w:rsidR="007635E4" w:rsidRDefault="007635E4" w:rsidP="007635E4">
      <w:pPr>
        <w:pStyle w:val="1"/>
        <w:spacing w:after="120"/>
        <w:jc w:val="center"/>
        <w:rPr>
          <w:rFonts w:ascii="Arial" w:hAnsi="Arial"/>
          <w:b/>
          <w:bCs/>
        </w:rPr>
      </w:pPr>
    </w:p>
    <w:p w:rsidR="007635E4" w:rsidRDefault="007635E4" w:rsidP="007635E4">
      <w:pPr>
        <w:pStyle w:val="1"/>
        <w:tabs>
          <w:tab w:val="left" w:pos="3540"/>
        </w:tabs>
        <w:spacing w:before="100"/>
        <w:jc w:val="both"/>
        <w:rPr>
          <w:rFonts w:ascii="Arial" w:hAnsi="Arial"/>
          <w:b/>
          <w:bCs/>
        </w:rPr>
      </w:pPr>
    </w:p>
    <w:p w:rsidR="007635E4" w:rsidRDefault="007635E4" w:rsidP="007635E4">
      <w:pPr>
        <w:pStyle w:val="1"/>
        <w:tabs>
          <w:tab w:val="left" w:pos="3540"/>
        </w:tabs>
        <w:spacing w:before="100"/>
        <w:jc w:val="both"/>
        <w:rPr>
          <w:rFonts w:ascii="Arial" w:hAnsi="Arial"/>
          <w:b/>
          <w:bCs/>
          <w:sz w:val="24"/>
          <w:szCs w:val="24"/>
        </w:rPr>
      </w:pPr>
    </w:p>
    <w:p w:rsidR="00691329" w:rsidRPr="00691329" w:rsidRDefault="000C706D" w:rsidP="001878FD">
      <w:pPr>
        <w:pStyle w:val="1"/>
        <w:spacing w:before="10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«</w:t>
      </w:r>
      <w:proofErr w:type="spellStart"/>
      <w:r>
        <w:rPr>
          <w:rFonts w:ascii="Arial" w:hAnsi="Arial"/>
          <w:b/>
          <w:bCs/>
          <w:sz w:val="24"/>
          <w:szCs w:val="24"/>
        </w:rPr>
        <w:t>Росэлектроника</w:t>
      </w:r>
      <w:proofErr w:type="spellEnd"/>
      <w:r w:rsidR="0005620A" w:rsidRPr="00691329">
        <w:rPr>
          <w:rFonts w:ascii="Arial" w:hAnsi="Arial"/>
          <w:b/>
          <w:bCs/>
          <w:sz w:val="24"/>
          <w:szCs w:val="24"/>
        </w:rPr>
        <w:t xml:space="preserve">» </w:t>
      </w:r>
      <w:r w:rsidR="00BF40BE">
        <w:rPr>
          <w:rFonts w:ascii="Arial" w:hAnsi="Arial"/>
          <w:b/>
          <w:bCs/>
          <w:sz w:val="24"/>
          <w:szCs w:val="24"/>
        </w:rPr>
        <w:t xml:space="preserve">начала поставки </w:t>
      </w:r>
      <w:r>
        <w:rPr>
          <w:rFonts w:ascii="Arial" w:hAnsi="Arial"/>
          <w:b/>
          <w:bCs/>
          <w:sz w:val="24"/>
          <w:szCs w:val="24"/>
        </w:rPr>
        <w:t>комплексов подсветки пешеходных переходов</w:t>
      </w:r>
    </w:p>
    <w:p w:rsidR="007635E4" w:rsidRDefault="007635E4" w:rsidP="007635E4">
      <w:pPr>
        <w:pStyle w:val="1"/>
        <w:tabs>
          <w:tab w:val="left" w:pos="3540"/>
        </w:tabs>
        <w:spacing w:before="100"/>
        <w:jc w:val="both"/>
        <w:rPr>
          <w:rFonts w:ascii="Arial" w:hAnsi="Arial"/>
          <w:b/>
          <w:bCs/>
          <w:sz w:val="24"/>
          <w:szCs w:val="24"/>
        </w:rPr>
      </w:pPr>
    </w:p>
    <w:p w:rsidR="007635E4" w:rsidRDefault="00D71DA5" w:rsidP="007635E4">
      <w:pPr>
        <w:pStyle w:val="1"/>
        <w:spacing w:line="340" w:lineRule="auto"/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iCs/>
        </w:rPr>
        <w:t>22</w:t>
      </w:r>
      <w:r w:rsidR="007635E4">
        <w:rPr>
          <w:rFonts w:ascii="Arial" w:hAnsi="Arial"/>
          <w:i/>
          <w:iCs/>
        </w:rPr>
        <w:t xml:space="preserve"> октября </w:t>
      </w:r>
      <w:r w:rsidR="007635E4">
        <w:rPr>
          <w:rFonts w:ascii="Arial" w:hAnsi="Arial"/>
          <w:i/>
          <w:iCs/>
          <w:sz w:val="24"/>
          <w:szCs w:val="24"/>
        </w:rPr>
        <w:t>2020 г.</w:t>
      </w:r>
    </w:p>
    <w:p w:rsidR="007635E4" w:rsidRDefault="007635E4" w:rsidP="007635E4">
      <w:pPr>
        <w:pStyle w:val="1"/>
        <w:spacing w:line="340" w:lineRule="auto"/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Пресс-релиз</w:t>
      </w:r>
    </w:p>
    <w:p w:rsidR="00D71DA5" w:rsidRPr="00D71DA5" w:rsidRDefault="00691329" w:rsidP="00D71DA5">
      <w:pPr>
        <w:pStyle w:val="1"/>
        <w:spacing w:before="100"/>
        <w:jc w:val="both"/>
        <w:rPr>
          <w:rFonts w:ascii="Arial" w:hAnsi="Arial"/>
          <w:b/>
          <w:bCs/>
          <w:sz w:val="24"/>
          <w:szCs w:val="24"/>
        </w:rPr>
      </w:pPr>
      <w:r w:rsidRPr="00691329">
        <w:rPr>
          <w:rFonts w:ascii="Arial" w:hAnsi="Arial"/>
          <w:b/>
          <w:bCs/>
          <w:sz w:val="24"/>
          <w:szCs w:val="24"/>
        </w:rPr>
        <w:t>Холдинг «</w:t>
      </w:r>
      <w:proofErr w:type="spellStart"/>
      <w:r w:rsidRPr="00691329">
        <w:rPr>
          <w:rFonts w:ascii="Arial" w:hAnsi="Arial"/>
          <w:b/>
          <w:bCs/>
          <w:sz w:val="24"/>
          <w:szCs w:val="24"/>
        </w:rPr>
        <w:t>Росэлектрони</w:t>
      </w:r>
      <w:r w:rsidR="0005620A">
        <w:rPr>
          <w:rFonts w:ascii="Arial" w:hAnsi="Arial"/>
          <w:b/>
          <w:bCs/>
          <w:sz w:val="24"/>
          <w:szCs w:val="24"/>
        </w:rPr>
        <w:t>ка</w:t>
      </w:r>
      <w:proofErr w:type="spellEnd"/>
      <w:r w:rsidR="0005620A">
        <w:rPr>
          <w:rFonts w:ascii="Arial" w:hAnsi="Arial"/>
          <w:b/>
          <w:bCs/>
          <w:sz w:val="24"/>
          <w:szCs w:val="24"/>
        </w:rPr>
        <w:t xml:space="preserve">» </w:t>
      </w:r>
      <w:proofErr w:type="spellStart"/>
      <w:r w:rsidR="0005620A">
        <w:rPr>
          <w:rFonts w:ascii="Arial" w:hAnsi="Arial"/>
          <w:b/>
          <w:bCs/>
          <w:sz w:val="24"/>
          <w:szCs w:val="24"/>
        </w:rPr>
        <w:t>Госкорпорации</w:t>
      </w:r>
      <w:proofErr w:type="spellEnd"/>
      <w:r w:rsidR="0005620A"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 w:rsidR="0005620A">
        <w:rPr>
          <w:rFonts w:ascii="Arial" w:hAnsi="Arial"/>
          <w:b/>
          <w:bCs/>
          <w:sz w:val="24"/>
          <w:szCs w:val="24"/>
        </w:rPr>
        <w:t>Ростех</w:t>
      </w:r>
      <w:proofErr w:type="spellEnd"/>
      <w:r w:rsidR="0005620A">
        <w:rPr>
          <w:rFonts w:ascii="Arial" w:hAnsi="Arial"/>
          <w:b/>
          <w:bCs/>
          <w:sz w:val="24"/>
          <w:szCs w:val="24"/>
        </w:rPr>
        <w:t xml:space="preserve"> </w:t>
      </w:r>
      <w:r w:rsidR="00D71DA5" w:rsidRPr="00D71DA5">
        <w:rPr>
          <w:rFonts w:ascii="Arial" w:hAnsi="Arial"/>
          <w:b/>
          <w:bCs/>
          <w:sz w:val="24"/>
          <w:szCs w:val="24"/>
        </w:rPr>
        <w:t xml:space="preserve">начал поставки автоматизированных комплексов подсветки пешеходных переходов на основе </w:t>
      </w:r>
      <w:proofErr w:type="spellStart"/>
      <w:r w:rsidR="00D71DA5" w:rsidRPr="00D71DA5">
        <w:rPr>
          <w:rFonts w:ascii="Arial" w:hAnsi="Arial"/>
          <w:b/>
          <w:bCs/>
          <w:sz w:val="24"/>
          <w:szCs w:val="24"/>
        </w:rPr>
        <w:t>гобо</w:t>
      </w:r>
      <w:proofErr w:type="spellEnd"/>
      <w:r w:rsidR="00D71DA5" w:rsidRPr="00D71DA5">
        <w:rPr>
          <w:rFonts w:ascii="Arial" w:hAnsi="Arial"/>
          <w:b/>
          <w:bCs/>
          <w:sz w:val="24"/>
          <w:szCs w:val="24"/>
        </w:rPr>
        <w:t xml:space="preserve">-проекторов. </w:t>
      </w:r>
      <w:r w:rsidR="000C706D">
        <w:rPr>
          <w:rFonts w:ascii="Arial" w:hAnsi="Arial"/>
          <w:b/>
          <w:bCs/>
          <w:sz w:val="24"/>
          <w:szCs w:val="24"/>
        </w:rPr>
        <w:t xml:space="preserve">Оборудование обеспечивает хорошую видимость «зебры» даже в плохую погоду – во время дождя, тумана или снегопада. Комплекс уже используется в Орле, а до </w:t>
      </w:r>
      <w:r w:rsidR="00D71DA5" w:rsidRPr="00D71DA5">
        <w:rPr>
          <w:rFonts w:ascii="Arial" w:hAnsi="Arial"/>
          <w:b/>
          <w:bCs/>
          <w:sz w:val="24"/>
          <w:szCs w:val="24"/>
        </w:rPr>
        <w:t xml:space="preserve">2024 года </w:t>
      </w:r>
      <w:r w:rsidR="000C706D">
        <w:rPr>
          <w:rFonts w:ascii="Arial" w:hAnsi="Arial"/>
          <w:b/>
          <w:bCs/>
          <w:sz w:val="24"/>
          <w:szCs w:val="24"/>
        </w:rPr>
        <w:t>появится еще в</w:t>
      </w:r>
      <w:r w:rsidR="00D71DA5" w:rsidRPr="00D71DA5">
        <w:rPr>
          <w:rFonts w:ascii="Arial" w:hAnsi="Arial"/>
          <w:b/>
          <w:bCs/>
          <w:sz w:val="24"/>
          <w:szCs w:val="24"/>
        </w:rPr>
        <w:t xml:space="preserve"> </w:t>
      </w:r>
      <w:r w:rsidR="000C706D">
        <w:rPr>
          <w:rFonts w:ascii="Arial" w:hAnsi="Arial"/>
          <w:b/>
          <w:bCs/>
          <w:sz w:val="24"/>
          <w:szCs w:val="24"/>
        </w:rPr>
        <w:t>4</w:t>
      </w:r>
      <w:r w:rsidR="00D71DA5" w:rsidRPr="00D71DA5">
        <w:rPr>
          <w:rFonts w:ascii="Arial" w:hAnsi="Arial"/>
          <w:b/>
          <w:bCs/>
          <w:sz w:val="24"/>
          <w:szCs w:val="24"/>
        </w:rPr>
        <w:t xml:space="preserve"> российских регионах. </w:t>
      </w:r>
    </w:p>
    <w:p w:rsidR="005059CD" w:rsidRDefault="000C706D" w:rsidP="00D71DA5">
      <w:pPr>
        <w:pStyle w:val="1"/>
        <w:spacing w:before="100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Комплекс, разработанный НИИ</w:t>
      </w:r>
      <w:r w:rsidR="00D71DA5" w:rsidRPr="00D71DA5"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«Вектор» концерна «Вега» (входит в «</w:t>
      </w:r>
      <w:proofErr w:type="spellStart"/>
      <w:r>
        <w:rPr>
          <w:rFonts w:ascii="Arial" w:hAnsi="Arial"/>
          <w:bCs/>
          <w:sz w:val="24"/>
          <w:szCs w:val="24"/>
        </w:rPr>
        <w:t>Росэлектронику</w:t>
      </w:r>
      <w:proofErr w:type="spellEnd"/>
      <w:r>
        <w:rPr>
          <w:rFonts w:ascii="Arial" w:hAnsi="Arial"/>
          <w:bCs/>
          <w:sz w:val="24"/>
          <w:szCs w:val="24"/>
        </w:rPr>
        <w:t xml:space="preserve">») </w:t>
      </w:r>
      <w:r w:rsidRPr="00D71DA5">
        <w:rPr>
          <w:rFonts w:ascii="Arial" w:hAnsi="Arial"/>
          <w:bCs/>
          <w:sz w:val="24"/>
          <w:szCs w:val="24"/>
        </w:rPr>
        <w:t>совместн</w:t>
      </w:r>
      <w:r>
        <w:rPr>
          <w:rFonts w:ascii="Arial" w:hAnsi="Arial"/>
          <w:bCs/>
          <w:sz w:val="24"/>
          <w:szCs w:val="24"/>
        </w:rPr>
        <w:t xml:space="preserve">о с технологическими партнерами, </w:t>
      </w:r>
      <w:r w:rsidR="00D71DA5" w:rsidRPr="00D71DA5">
        <w:rPr>
          <w:rFonts w:ascii="Arial" w:hAnsi="Arial"/>
          <w:bCs/>
          <w:sz w:val="24"/>
          <w:szCs w:val="24"/>
        </w:rPr>
        <w:t xml:space="preserve">состоит из двух </w:t>
      </w:r>
      <w:proofErr w:type="spellStart"/>
      <w:r w:rsidR="00D71DA5" w:rsidRPr="00D71DA5">
        <w:rPr>
          <w:rFonts w:ascii="Arial" w:hAnsi="Arial"/>
          <w:bCs/>
          <w:sz w:val="24"/>
          <w:szCs w:val="24"/>
        </w:rPr>
        <w:t>гобо</w:t>
      </w:r>
      <w:proofErr w:type="spellEnd"/>
      <w:r w:rsidR="00D71DA5" w:rsidRPr="00D71DA5">
        <w:rPr>
          <w:rFonts w:ascii="Arial" w:hAnsi="Arial"/>
          <w:bCs/>
          <w:sz w:val="24"/>
          <w:szCs w:val="24"/>
        </w:rPr>
        <w:t xml:space="preserve">-проекторов и двух </w:t>
      </w:r>
      <w:r>
        <w:rPr>
          <w:rFonts w:ascii="Arial" w:hAnsi="Arial"/>
          <w:bCs/>
          <w:sz w:val="24"/>
          <w:szCs w:val="24"/>
        </w:rPr>
        <w:t xml:space="preserve">датчиков движения, размещенных </w:t>
      </w:r>
      <w:r w:rsidR="00D71DA5" w:rsidRPr="00D71DA5">
        <w:rPr>
          <w:rFonts w:ascii="Arial" w:hAnsi="Arial"/>
          <w:bCs/>
          <w:sz w:val="24"/>
          <w:szCs w:val="24"/>
        </w:rPr>
        <w:t>по обеим</w:t>
      </w:r>
      <w:r w:rsidR="005059CD">
        <w:rPr>
          <w:rFonts w:ascii="Arial" w:hAnsi="Arial"/>
          <w:bCs/>
          <w:sz w:val="24"/>
          <w:szCs w:val="24"/>
        </w:rPr>
        <w:t xml:space="preserve"> сторонам пешеходного перехода. </w:t>
      </w:r>
      <w:r w:rsidR="00D71DA5" w:rsidRPr="00D71DA5">
        <w:rPr>
          <w:rFonts w:ascii="Arial" w:hAnsi="Arial"/>
          <w:bCs/>
          <w:sz w:val="24"/>
          <w:szCs w:val="24"/>
        </w:rPr>
        <w:t xml:space="preserve">Благодаря новой оптической системе с проекционным расстоянием 1:1,1 каждый метр высоты проектора над землей дает 1,1 метра длины изображения. </w:t>
      </w:r>
    </w:p>
    <w:p w:rsidR="00D71DA5" w:rsidRPr="00D71DA5" w:rsidRDefault="00D71DA5" w:rsidP="00D71DA5">
      <w:pPr>
        <w:pStyle w:val="1"/>
        <w:spacing w:before="100"/>
        <w:jc w:val="both"/>
        <w:rPr>
          <w:rFonts w:ascii="Arial" w:hAnsi="Arial"/>
          <w:bCs/>
          <w:sz w:val="24"/>
          <w:szCs w:val="24"/>
        </w:rPr>
      </w:pPr>
      <w:r w:rsidRPr="00D71DA5">
        <w:rPr>
          <w:rFonts w:ascii="Arial" w:hAnsi="Arial"/>
          <w:bCs/>
          <w:sz w:val="24"/>
          <w:szCs w:val="24"/>
        </w:rPr>
        <w:t>Светово</w:t>
      </w:r>
      <w:r w:rsidR="000C706D">
        <w:rPr>
          <w:rFonts w:ascii="Arial" w:hAnsi="Arial"/>
          <w:bCs/>
          <w:sz w:val="24"/>
          <w:szCs w:val="24"/>
        </w:rPr>
        <w:t>й пучок яркостью 330 люкс</w:t>
      </w:r>
      <w:r w:rsidRPr="00D71DA5">
        <w:rPr>
          <w:rFonts w:ascii="Arial" w:hAnsi="Arial"/>
          <w:bCs/>
          <w:sz w:val="24"/>
          <w:szCs w:val="24"/>
        </w:rPr>
        <w:t xml:space="preserve"> делает пешеходный переход видимым с расстояния 200 метров в ус</w:t>
      </w:r>
      <w:r w:rsidR="000C706D">
        <w:rPr>
          <w:rFonts w:ascii="Arial" w:hAnsi="Arial"/>
          <w:bCs/>
          <w:sz w:val="24"/>
          <w:szCs w:val="24"/>
        </w:rPr>
        <w:t xml:space="preserve">ловиях снега, дождя или тумана. </w:t>
      </w:r>
      <w:r w:rsidRPr="00D71DA5">
        <w:rPr>
          <w:rFonts w:ascii="Arial" w:hAnsi="Arial"/>
          <w:bCs/>
          <w:sz w:val="24"/>
          <w:szCs w:val="24"/>
        </w:rPr>
        <w:t>Проекция изображения на проезжую часть происходит за счет прохождения пучка света через трафарет, выполненный из стекла, металла или пленки. Сами проекторы защищены от воздействия низких температур и воды и не нуждаются в обслуживании.</w:t>
      </w:r>
    </w:p>
    <w:p w:rsidR="00D71DA5" w:rsidRPr="00D71DA5" w:rsidRDefault="00D71DA5" w:rsidP="00D71DA5">
      <w:pPr>
        <w:pStyle w:val="1"/>
        <w:spacing w:before="100"/>
        <w:jc w:val="both"/>
        <w:rPr>
          <w:rFonts w:ascii="Arial" w:hAnsi="Arial"/>
          <w:bCs/>
          <w:sz w:val="24"/>
          <w:szCs w:val="24"/>
        </w:rPr>
      </w:pPr>
      <w:r w:rsidRPr="00D71DA5">
        <w:rPr>
          <w:rFonts w:ascii="Arial" w:hAnsi="Arial"/>
          <w:bCs/>
          <w:sz w:val="24"/>
          <w:szCs w:val="24"/>
        </w:rPr>
        <w:t>«Комплекс подсветки пешеходного перехода – полностью оте</w:t>
      </w:r>
      <w:r w:rsidR="005059CD">
        <w:rPr>
          <w:rFonts w:ascii="Arial" w:hAnsi="Arial"/>
          <w:bCs/>
          <w:sz w:val="24"/>
          <w:szCs w:val="24"/>
        </w:rPr>
        <w:t>чественная разработка</w:t>
      </w:r>
      <w:r w:rsidRPr="00D71DA5">
        <w:rPr>
          <w:rFonts w:ascii="Arial" w:hAnsi="Arial"/>
          <w:bCs/>
          <w:sz w:val="24"/>
          <w:szCs w:val="24"/>
        </w:rPr>
        <w:t xml:space="preserve">. Мы уже начали поставки </w:t>
      </w:r>
      <w:r w:rsidR="005059CD">
        <w:rPr>
          <w:rFonts w:ascii="Arial" w:hAnsi="Arial"/>
          <w:bCs/>
          <w:sz w:val="24"/>
          <w:szCs w:val="24"/>
        </w:rPr>
        <w:t xml:space="preserve">оборудования </w:t>
      </w:r>
      <w:r w:rsidRPr="00D71DA5">
        <w:rPr>
          <w:rFonts w:ascii="Arial" w:hAnsi="Arial"/>
          <w:bCs/>
          <w:sz w:val="24"/>
          <w:szCs w:val="24"/>
        </w:rPr>
        <w:t>в Орлов</w:t>
      </w:r>
      <w:r w:rsidR="005059CD">
        <w:rPr>
          <w:rFonts w:ascii="Arial" w:hAnsi="Arial"/>
          <w:bCs/>
          <w:sz w:val="24"/>
          <w:szCs w:val="24"/>
        </w:rPr>
        <w:t>скую область в рамках реализации национального проекта</w:t>
      </w:r>
      <w:r w:rsidRPr="00D71DA5">
        <w:rPr>
          <w:rFonts w:ascii="Arial" w:hAnsi="Arial"/>
          <w:bCs/>
          <w:sz w:val="24"/>
          <w:szCs w:val="24"/>
        </w:rPr>
        <w:t xml:space="preserve"> «Безопасные и качественные автомобильные дороги». </w:t>
      </w:r>
      <w:r w:rsidR="00D37059">
        <w:rPr>
          <w:rFonts w:ascii="Arial" w:hAnsi="Arial"/>
          <w:bCs/>
          <w:sz w:val="24"/>
          <w:szCs w:val="24"/>
        </w:rPr>
        <w:t>Всего д</w:t>
      </w:r>
      <w:r w:rsidRPr="00D71DA5">
        <w:rPr>
          <w:rFonts w:ascii="Arial" w:hAnsi="Arial"/>
          <w:bCs/>
          <w:sz w:val="24"/>
          <w:szCs w:val="24"/>
        </w:rPr>
        <w:t xml:space="preserve">о 2024 года </w:t>
      </w:r>
      <w:r w:rsidR="005059CD">
        <w:rPr>
          <w:rFonts w:ascii="Arial" w:hAnsi="Arial"/>
          <w:bCs/>
          <w:sz w:val="24"/>
          <w:szCs w:val="24"/>
        </w:rPr>
        <w:t xml:space="preserve">мы планируем установить </w:t>
      </w:r>
      <w:r w:rsidRPr="00D71DA5">
        <w:rPr>
          <w:rFonts w:ascii="Arial" w:hAnsi="Arial"/>
          <w:bCs/>
          <w:sz w:val="24"/>
          <w:szCs w:val="24"/>
        </w:rPr>
        <w:t xml:space="preserve">более 2 тысяч </w:t>
      </w:r>
      <w:r w:rsidR="005059CD">
        <w:rPr>
          <w:rFonts w:ascii="Arial" w:hAnsi="Arial"/>
          <w:bCs/>
          <w:sz w:val="24"/>
          <w:szCs w:val="24"/>
        </w:rPr>
        <w:t xml:space="preserve">подсвечиваемых </w:t>
      </w:r>
      <w:r w:rsidRPr="00D71DA5">
        <w:rPr>
          <w:rFonts w:ascii="Arial" w:hAnsi="Arial"/>
          <w:bCs/>
          <w:sz w:val="24"/>
          <w:szCs w:val="24"/>
        </w:rPr>
        <w:t xml:space="preserve">пешеходных переходов </w:t>
      </w:r>
      <w:r w:rsidR="005059CD">
        <w:rPr>
          <w:rFonts w:ascii="Arial" w:hAnsi="Arial"/>
          <w:bCs/>
          <w:sz w:val="24"/>
          <w:szCs w:val="24"/>
        </w:rPr>
        <w:t xml:space="preserve">еще в четырех регионах страны. Использование технологии световой проекции позволяет </w:t>
      </w:r>
      <w:r w:rsidR="005059CD" w:rsidRPr="00D71DA5">
        <w:rPr>
          <w:rFonts w:ascii="Arial" w:hAnsi="Arial"/>
          <w:bCs/>
          <w:sz w:val="24"/>
          <w:szCs w:val="24"/>
        </w:rPr>
        <w:t>повысить безопасность пешеходов и минимизировать риск наступления ДТП в местах с ограниченной видимостью</w:t>
      </w:r>
      <w:r w:rsidR="005059CD">
        <w:rPr>
          <w:rFonts w:ascii="Arial" w:hAnsi="Arial"/>
          <w:bCs/>
          <w:sz w:val="24"/>
          <w:szCs w:val="24"/>
        </w:rPr>
        <w:t xml:space="preserve"> или некачественным асфальтовым покрытием</w:t>
      </w:r>
      <w:r w:rsidR="005059CD" w:rsidRPr="00D71DA5">
        <w:rPr>
          <w:rFonts w:ascii="Arial" w:hAnsi="Arial"/>
          <w:bCs/>
          <w:sz w:val="24"/>
          <w:szCs w:val="24"/>
        </w:rPr>
        <w:t>, а также рядом со школами, больницами и другими социальными объектами</w:t>
      </w:r>
      <w:r w:rsidRPr="00D71DA5">
        <w:rPr>
          <w:rFonts w:ascii="Arial" w:hAnsi="Arial"/>
          <w:bCs/>
          <w:sz w:val="24"/>
          <w:szCs w:val="24"/>
        </w:rPr>
        <w:t xml:space="preserve">», - заявил заместитель генерального директора Концерна «Вега» по коммерческой деятельности </w:t>
      </w:r>
      <w:r w:rsidRPr="000C706D">
        <w:rPr>
          <w:rFonts w:ascii="Arial" w:hAnsi="Arial"/>
          <w:b/>
          <w:bCs/>
          <w:sz w:val="24"/>
          <w:szCs w:val="24"/>
        </w:rPr>
        <w:t>Сергей Калмыков</w:t>
      </w:r>
      <w:r w:rsidRPr="00D71DA5">
        <w:rPr>
          <w:rFonts w:ascii="Arial" w:hAnsi="Arial"/>
          <w:bCs/>
          <w:sz w:val="24"/>
          <w:szCs w:val="24"/>
        </w:rPr>
        <w:t>.</w:t>
      </w:r>
    </w:p>
    <w:p w:rsidR="00D71DA5" w:rsidRPr="00D71DA5" w:rsidRDefault="00D71DA5" w:rsidP="00D71DA5">
      <w:pPr>
        <w:pStyle w:val="1"/>
        <w:spacing w:before="100"/>
        <w:jc w:val="both"/>
        <w:rPr>
          <w:rFonts w:ascii="Arial" w:hAnsi="Arial"/>
          <w:b/>
          <w:bCs/>
          <w:sz w:val="24"/>
          <w:szCs w:val="24"/>
        </w:rPr>
      </w:pPr>
    </w:p>
    <w:p w:rsidR="007635E4" w:rsidRDefault="00E84B9F" w:rsidP="007635E4">
      <w:pPr>
        <w:pStyle w:val="1"/>
        <w:tabs>
          <w:tab w:val="left" w:pos="3540"/>
        </w:tabs>
        <w:spacing w:before="10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18"/>
          <w:szCs w:val="18"/>
        </w:rPr>
        <w:t xml:space="preserve">Холдинг </w:t>
      </w:r>
      <w:r w:rsidR="007635E4">
        <w:rPr>
          <w:rFonts w:ascii="Arial" w:hAnsi="Arial"/>
          <w:b/>
          <w:bCs/>
          <w:sz w:val="18"/>
          <w:szCs w:val="18"/>
        </w:rPr>
        <w:t>«</w:t>
      </w:r>
      <w:proofErr w:type="spellStart"/>
      <w:r w:rsidR="007635E4">
        <w:rPr>
          <w:rFonts w:ascii="Arial" w:hAnsi="Arial"/>
          <w:b/>
          <w:bCs/>
          <w:sz w:val="18"/>
          <w:szCs w:val="18"/>
        </w:rPr>
        <w:t>Росэлектроника</w:t>
      </w:r>
      <w:proofErr w:type="spellEnd"/>
      <w:r w:rsidR="007635E4">
        <w:rPr>
          <w:rFonts w:ascii="Arial" w:hAnsi="Arial"/>
          <w:b/>
          <w:bCs/>
          <w:sz w:val="18"/>
          <w:szCs w:val="18"/>
        </w:rPr>
        <w:t xml:space="preserve">» </w:t>
      </w:r>
      <w:r w:rsidR="007635E4">
        <w:rPr>
          <w:rFonts w:ascii="Arial" w:hAnsi="Arial"/>
          <w:sz w:val="18"/>
          <w:szCs w:val="18"/>
        </w:rPr>
        <w:t xml:space="preserve">является ключевым участником радиоэлектронного рынка. Образована в 1997 году, в 2009 году вошла в состав </w:t>
      </w:r>
      <w:proofErr w:type="spellStart"/>
      <w:r w:rsidR="007635E4">
        <w:rPr>
          <w:rFonts w:ascii="Arial" w:hAnsi="Arial"/>
          <w:sz w:val="18"/>
          <w:szCs w:val="18"/>
        </w:rPr>
        <w:t>Госкорпорации</w:t>
      </w:r>
      <w:proofErr w:type="spellEnd"/>
      <w:r w:rsidR="007635E4">
        <w:rPr>
          <w:rFonts w:ascii="Arial" w:hAnsi="Arial"/>
          <w:sz w:val="18"/>
          <w:szCs w:val="18"/>
        </w:rPr>
        <w:t xml:space="preserve"> </w:t>
      </w:r>
      <w:proofErr w:type="spellStart"/>
      <w:r w:rsidR="007635E4">
        <w:rPr>
          <w:rFonts w:ascii="Arial" w:hAnsi="Arial"/>
          <w:sz w:val="18"/>
          <w:szCs w:val="18"/>
        </w:rPr>
        <w:t>Ростех</w:t>
      </w:r>
      <w:proofErr w:type="spellEnd"/>
      <w:r w:rsidR="007635E4">
        <w:rPr>
          <w:rFonts w:ascii="Arial" w:hAnsi="Arial"/>
          <w:sz w:val="18"/>
          <w:szCs w:val="18"/>
        </w:rPr>
        <w:t>. На сегодняшний день холдинговая компания формирует более 50% выпуска электронных компонентов в России, 8% выпуска продукции радиоэлектронной отрасли в целом и обеспечивает более 10% рабочих мест отрасли. Холдинг объединяет более 120 предприятий и научных организаций, специализирующихся на разработке и производстве радиоэлектронных компонентов и технологий, средств и систем связи, автоматизированных систем управления, робототехнических комплексов, СВЧ-радиоэлектроники, вычислительной техники и телекоммуникационного оборудования. Общая численность сотрудников – более 70 тысяч человек. Годовая совокупная выручка предприятий холдинга превышает 150 млрд руб. Продукция холдинга поставляется более чем в 30 стран мира, в том числе страны Европы, Юго-Восточной Азии, Ближнего Востока, Африки и Латинской Америки.</w:t>
      </w:r>
      <w:r w:rsidR="007635E4">
        <w:rPr>
          <w:rFonts w:ascii="Arial" w:hAnsi="Arial"/>
          <w:b/>
          <w:bCs/>
          <w:sz w:val="18"/>
          <w:szCs w:val="18"/>
        </w:rPr>
        <w:t xml:space="preserve"> </w:t>
      </w:r>
    </w:p>
    <w:p w:rsidR="00691329" w:rsidRPr="00691329" w:rsidRDefault="007635E4" w:rsidP="00691329">
      <w:pPr>
        <w:pStyle w:val="1"/>
        <w:spacing w:before="100"/>
        <w:jc w:val="both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b/>
          <w:bCs/>
          <w:sz w:val="18"/>
          <w:szCs w:val="18"/>
        </w:rPr>
        <w:lastRenderedPageBreak/>
        <w:t>Госкорпорация</w:t>
      </w:r>
      <w:proofErr w:type="spellEnd"/>
      <w:r>
        <w:rPr>
          <w:rFonts w:ascii="Arial" w:hAnsi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bCs/>
          <w:sz w:val="18"/>
          <w:szCs w:val="18"/>
        </w:rPr>
        <w:t>Ростех</w:t>
      </w:r>
      <w:proofErr w:type="spellEnd"/>
      <w:r>
        <w:rPr>
          <w:rFonts w:ascii="Arial" w:hAnsi="Arial"/>
          <w:sz w:val="18"/>
          <w:szCs w:val="18"/>
        </w:rPr>
        <w:t xml:space="preserve"> – российская корпорация, созданная в 2007 г. для содействия разработке, производству и экспорту высокотехнологичной промышленной продукции гражданского и военного назначения. В её состав входят более 700 организаций, из которых в настоящее время сформировано 11 холдинговых компаний в оборонно-промышленном комплексе и 3 – в гражданских отраслях промышленности, а также более 80 организаций прямого управления. В портфель </w:t>
      </w:r>
      <w:proofErr w:type="spellStart"/>
      <w:r>
        <w:rPr>
          <w:rFonts w:ascii="Arial" w:hAnsi="Arial"/>
          <w:sz w:val="18"/>
          <w:szCs w:val="18"/>
        </w:rPr>
        <w:t>Ростеха</w:t>
      </w:r>
      <w:proofErr w:type="spellEnd"/>
      <w:r>
        <w:rPr>
          <w:rFonts w:ascii="Arial" w:hAnsi="Arial"/>
          <w:sz w:val="18"/>
          <w:szCs w:val="18"/>
        </w:rPr>
        <w:t xml:space="preserve"> входят такие известные бренды, как АВТОВАЗ, КАМАЗ, Концерн Калашников, «Вертолёты России», ВСМПО-АВИСМА, Уралвагонзавод и т. д. Организации </w:t>
      </w:r>
      <w:proofErr w:type="spellStart"/>
      <w:r>
        <w:rPr>
          <w:rFonts w:ascii="Arial" w:hAnsi="Arial"/>
          <w:sz w:val="18"/>
          <w:szCs w:val="18"/>
        </w:rPr>
        <w:t>Ростеха</w:t>
      </w:r>
      <w:proofErr w:type="spellEnd"/>
      <w:r>
        <w:rPr>
          <w:rFonts w:ascii="Arial" w:hAnsi="Arial"/>
          <w:sz w:val="18"/>
          <w:szCs w:val="18"/>
        </w:rPr>
        <w:t xml:space="preserve"> расположены на территории 60 субъектов РФ и поставляют продукцию на рынки более 70 стран. Консолидированная выручка </w:t>
      </w:r>
      <w:proofErr w:type="spellStart"/>
      <w:r>
        <w:rPr>
          <w:rFonts w:ascii="Arial" w:hAnsi="Arial"/>
          <w:sz w:val="18"/>
          <w:szCs w:val="18"/>
        </w:rPr>
        <w:t>Ростеха</w:t>
      </w:r>
      <w:proofErr w:type="spellEnd"/>
      <w:r>
        <w:rPr>
          <w:rFonts w:ascii="Arial" w:hAnsi="Arial"/>
          <w:sz w:val="18"/>
          <w:szCs w:val="18"/>
        </w:rPr>
        <w:t xml:space="preserve"> в 2016 году достигла 1 трлн. 266 млрд. рублей, консолидированная чистая прибыль – 88 млрд. рублей, а EBITDA – 268 млрд. рублей. Заработная плата в среднем по Корпорации в 2016 году составила 44 000 рублей. Согласно стратегии </w:t>
      </w:r>
      <w:proofErr w:type="spellStart"/>
      <w:r>
        <w:rPr>
          <w:rFonts w:ascii="Arial" w:hAnsi="Arial"/>
          <w:sz w:val="18"/>
          <w:szCs w:val="18"/>
        </w:rPr>
        <w:t>Ростеха</w:t>
      </w:r>
      <w:proofErr w:type="spellEnd"/>
      <w:r>
        <w:rPr>
          <w:rFonts w:ascii="Arial" w:hAnsi="Arial"/>
          <w:sz w:val="18"/>
          <w:szCs w:val="18"/>
        </w:rPr>
        <w:t xml:space="preserve">, основной задачей Корпорации является обеспечение технологического преимущества России на </w:t>
      </w:r>
      <w:proofErr w:type="spellStart"/>
      <w:r>
        <w:rPr>
          <w:rFonts w:ascii="Arial" w:hAnsi="Arial"/>
          <w:sz w:val="18"/>
          <w:szCs w:val="18"/>
        </w:rPr>
        <w:t>высококонкурентных</w:t>
      </w:r>
      <w:proofErr w:type="spellEnd"/>
      <w:r>
        <w:rPr>
          <w:rFonts w:ascii="Arial" w:hAnsi="Arial"/>
          <w:sz w:val="18"/>
          <w:szCs w:val="18"/>
        </w:rPr>
        <w:t xml:space="preserve"> мировых рынках. Одной из ключевых задач </w:t>
      </w:r>
      <w:proofErr w:type="spellStart"/>
      <w:r>
        <w:rPr>
          <w:rFonts w:ascii="Arial" w:hAnsi="Arial"/>
          <w:sz w:val="18"/>
          <w:szCs w:val="18"/>
        </w:rPr>
        <w:t>Ростеха</w:t>
      </w:r>
      <w:proofErr w:type="spellEnd"/>
      <w:r>
        <w:rPr>
          <w:rFonts w:ascii="Arial" w:hAnsi="Arial"/>
          <w:sz w:val="18"/>
          <w:szCs w:val="18"/>
        </w:rPr>
        <w:t xml:space="preserve"> является внедрение нового технологического уклада и </w:t>
      </w:r>
      <w:proofErr w:type="spellStart"/>
      <w:r>
        <w:rPr>
          <w:rFonts w:ascii="Arial" w:hAnsi="Arial"/>
          <w:sz w:val="18"/>
          <w:szCs w:val="18"/>
        </w:rPr>
        <w:t>цифровизация</w:t>
      </w:r>
      <w:proofErr w:type="spellEnd"/>
      <w:r>
        <w:rPr>
          <w:rFonts w:ascii="Arial" w:hAnsi="Arial"/>
          <w:sz w:val="18"/>
          <w:szCs w:val="18"/>
        </w:rPr>
        <w:t xml:space="preserve"> российской экономики.</w:t>
      </w:r>
    </w:p>
    <w:p w:rsidR="00691329" w:rsidRPr="00691329" w:rsidRDefault="00691329" w:rsidP="00D1242A">
      <w:bookmarkStart w:id="0" w:name="_GoBack"/>
      <w:bookmarkEnd w:id="0"/>
    </w:p>
    <w:sectPr w:rsidR="00691329" w:rsidRPr="0069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2A"/>
    <w:rsid w:val="00016633"/>
    <w:rsid w:val="0005620A"/>
    <w:rsid w:val="000C706D"/>
    <w:rsid w:val="000D3F93"/>
    <w:rsid w:val="000E4257"/>
    <w:rsid w:val="00104560"/>
    <w:rsid w:val="001201D5"/>
    <w:rsid w:val="001878FD"/>
    <w:rsid w:val="001A6592"/>
    <w:rsid w:val="00221B69"/>
    <w:rsid w:val="00232553"/>
    <w:rsid w:val="002A2D94"/>
    <w:rsid w:val="002B6282"/>
    <w:rsid w:val="002E6FFE"/>
    <w:rsid w:val="002F060C"/>
    <w:rsid w:val="00300FA0"/>
    <w:rsid w:val="003B3ECF"/>
    <w:rsid w:val="003D0D18"/>
    <w:rsid w:val="00406D77"/>
    <w:rsid w:val="00414642"/>
    <w:rsid w:val="004216D6"/>
    <w:rsid w:val="004326F6"/>
    <w:rsid w:val="00444DF5"/>
    <w:rsid w:val="00465CD3"/>
    <w:rsid w:val="004700E9"/>
    <w:rsid w:val="0048475C"/>
    <w:rsid w:val="00496BB0"/>
    <w:rsid w:val="004A60A6"/>
    <w:rsid w:val="005057DE"/>
    <w:rsid w:val="005059CD"/>
    <w:rsid w:val="0052245B"/>
    <w:rsid w:val="0052716F"/>
    <w:rsid w:val="005700F7"/>
    <w:rsid w:val="005A77C0"/>
    <w:rsid w:val="0065447E"/>
    <w:rsid w:val="00691329"/>
    <w:rsid w:val="006A3EFF"/>
    <w:rsid w:val="00715DD5"/>
    <w:rsid w:val="00726963"/>
    <w:rsid w:val="00743039"/>
    <w:rsid w:val="007548B8"/>
    <w:rsid w:val="007635E4"/>
    <w:rsid w:val="007A0C3B"/>
    <w:rsid w:val="007B4A7C"/>
    <w:rsid w:val="00804D96"/>
    <w:rsid w:val="008B39D9"/>
    <w:rsid w:val="008E74DC"/>
    <w:rsid w:val="00923DC9"/>
    <w:rsid w:val="00933C12"/>
    <w:rsid w:val="009C46D9"/>
    <w:rsid w:val="009E1485"/>
    <w:rsid w:val="00A14D7B"/>
    <w:rsid w:val="00A205A8"/>
    <w:rsid w:val="00A6007B"/>
    <w:rsid w:val="00A70ACE"/>
    <w:rsid w:val="00A95987"/>
    <w:rsid w:val="00B47EFC"/>
    <w:rsid w:val="00B51E0D"/>
    <w:rsid w:val="00B5309D"/>
    <w:rsid w:val="00B536A6"/>
    <w:rsid w:val="00B555FA"/>
    <w:rsid w:val="00B838C9"/>
    <w:rsid w:val="00BA12DF"/>
    <w:rsid w:val="00BD3910"/>
    <w:rsid w:val="00BF40BE"/>
    <w:rsid w:val="00C42333"/>
    <w:rsid w:val="00CD7297"/>
    <w:rsid w:val="00CE341B"/>
    <w:rsid w:val="00D1242A"/>
    <w:rsid w:val="00D37059"/>
    <w:rsid w:val="00D71DA5"/>
    <w:rsid w:val="00E01E6D"/>
    <w:rsid w:val="00E037D7"/>
    <w:rsid w:val="00E06832"/>
    <w:rsid w:val="00E14BFF"/>
    <w:rsid w:val="00E2594B"/>
    <w:rsid w:val="00E57643"/>
    <w:rsid w:val="00E7243B"/>
    <w:rsid w:val="00E84B9F"/>
    <w:rsid w:val="00ED3B70"/>
    <w:rsid w:val="00EE5660"/>
    <w:rsid w:val="00FB5632"/>
    <w:rsid w:val="00FC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159D6-011C-48CE-A9B0-6069217B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A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635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3656</Characters>
  <Application>Microsoft Office Word</Application>
  <DocSecurity>0</DocSecurity>
  <Lines>203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Гвоздева Полина Сергеевна</dc:creator>
  <cp:keywords/>
  <dc:description/>
  <cp:lastModifiedBy>Гвоздева Полина Сергеевна</cp:lastModifiedBy>
  <cp:revision>2</cp:revision>
  <dcterms:created xsi:type="dcterms:W3CDTF">2020-10-22T08:01:00Z</dcterms:created>
  <dcterms:modified xsi:type="dcterms:W3CDTF">2020-10-22T08:01:00Z</dcterms:modified>
</cp:coreProperties>
</file>