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E4" w:rsidRDefault="007635E4" w:rsidP="007635E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D6084D7" wp14:editId="1AD4E727">
            <wp:simplePos x="0" y="0"/>
            <wp:positionH relativeFrom="page">
              <wp:posOffset>929842</wp:posOffset>
            </wp:positionH>
            <wp:positionV relativeFrom="page">
              <wp:posOffset>931545</wp:posOffset>
            </wp:positionV>
            <wp:extent cx="1595931" cy="504001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931" cy="50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35E4" w:rsidRDefault="007635E4" w:rsidP="007635E4">
      <w:pPr>
        <w:pStyle w:val="1"/>
        <w:rPr>
          <w:rFonts w:ascii="Arial" w:hAnsi="Arial"/>
        </w:rPr>
      </w:pPr>
    </w:p>
    <w:p w:rsidR="007635E4" w:rsidRDefault="007635E4" w:rsidP="007635E4">
      <w:pPr>
        <w:pStyle w:val="1"/>
        <w:spacing w:after="120"/>
        <w:jc w:val="center"/>
        <w:rPr>
          <w:rFonts w:ascii="Arial" w:hAnsi="Arial"/>
          <w:b/>
          <w:bCs/>
        </w:rPr>
      </w:pP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</w:rPr>
      </w:pP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  <w:sz w:val="24"/>
          <w:szCs w:val="24"/>
        </w:rPr>
      </w:pPr>
    </w:p>
    <w:p w:rsidR="00691329" w:rsidRPr="00691329" w:rsidRDefault="003A40B3" w:rsidP="001878FD">
      <w:pPr>
        <w:pStyle w:val="1"/>
        <w:spacing w:before="10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Предприятие «</w:t>
      </w:r>
      <w:proofErr w:type="spellStart"/>
      <w:r>
        <w:rPr>
          <w:rFonts w:ascii="Arial" w:hAnsi="Arial"/>
          <w:b/>
          <w:bCs/>
          <w:sz w:val="24"/>
          <w:szCs w:val="24"/>
        </w:rPr>
        <w:t>Росэлектроники</w:t>
      </w:r>
      <w:proofErr w:type="spellEnd"/>
      <w:r w:rsidR="0005620A" w:rsidRPr="00691329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вошло в Арктический кластер Санкт-Петербурга</w:t>
      </w: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  <w:sz w:val="24"/>
          <w:szCs w:val="24"/>
        </w:rPr>
      </w:pPr>
    </w:p>
    <w:p w:rsidR="007635E4" w:rsidRDefault="003F127D" w:rsidP="007635E4">
      <w:pPr>
        <w:pStyle w:val="1"/>
        <w:spacing w:line="3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</w:rPr>
        <w:t>28</w:t>
      </w:r>
      <w:r w:rsidR="007635E4">
        <w:rPr>
          <w:rFonts w:ascii="Arial" w:hAnsi="Arial"/>
          <w:i/>
          <w:iCs/>
        </w:rPr>
        <w:t xml:space="preserve"> октября </w:t>
      </w:r>
      <w:r w:rsidR="007635E4">
        <w:rPr>
          <w:rFonts w:ascii="Arial" w:hAnsi="Arial"/>
          <w:i/>
          <w:iCs/>
          <w:sz w:val="24"/>
          <w:szCs w:val="24"/>
        </w:rPr>
        <w:t>2020 г.</w:t>
      </w:r>
    </w:p>
    <w:p w:rsidR="007635E4" w:rsidRDefault="007635E4" w:rsidP="007635E4">
      <w:pPr>
        <w:pStyle w:val="1"/>
        <w:spacing w:line="3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Пресс-релиз</w:t>
      </w:r>
    </w:p>
    <w:p w:rsidR="00027CF5" w:rsidRDefault="00027CF5" w:rsidP="00967D03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НИИ</w:t>
      </w:r>
      <w:r w:rsidR="00967D03" w:rsidRPr="00967D03">
        <w:rPr>
          <w:rFonts w:ascii="Arial" w:hAnsi="Arial"/>
          <w:bCs/>
          <w:sz w:val="24"/>
          <w:szCs w:val="24"/>
        </w:rPr>
        <w:t xml:space="preserve"> «</w:t>
      </w:r>
      <w:r>
        <w:rPr>
          <w:rFonts w:ascii="Arial" w:hAnsi="Arial"/>
          <w:bCs/>
          <w:sz w:val="24"/>
          <w:szCs w:val="24"/>
        </w:rPr>
        <w:t>Нептун</w:t>
      </w:r>
      <w:r w:rsidR="00967D03" w:rsidRPr="00967D03">
        <w:rPr>
          <w:rFonts w:ascii="Arial" w:hAnsi="Arial"/>
          <w:bCs/>
          <w:sz w:val="24"/>
          <w:szCs w:val="24"/>
        </w:rPr>
        <w:t>» холдинга «</w:t>
      </w:r>
      <w:proofErr w:type="spellStart"/>
      <w:r w:rsidR="00967D03" w:rsidRPr="00967D03">
        <w:rPr>
          <w:rFonts w:ascii="Arial" w:hAnsi="Arial"/>
          <w:bCs/>
          <w:sz w:val="24"/>
          <w:szCs w:val="24"/>
        </w:rPr>
        <w:t>Росэлектроника</w:t>
      </w:r>
      <w:proofErr w:type="spellEnd"/>
      <w:r w:rsidR="00967D03" w:rsidRPr="00967D03">
        <w:rPr>
          <w:rFonts w:ascii="Arial" w:hAnsi="Arial"/>
          <w:bCs/>
          <w:sz w:val="24"/>
          <w:szCs w:val="24"/>
        </w:rPr>
        <w:t xml:space="preserve">» </w:t>
      </w:r>
      <w:r>
        <w:rPr>
          <w:rFonts w:ascii="Arial" w:hAnsi="Arial"/>
          <w:bCs/>
          <w:sz w:val="24"/>
          <w:szCs w:val="24"/>
        </w:rPr>
        <w:t xml:space="preserve">(входит в </w:t>
      </w:r>
      <w:proofErr w:type="spellStart"/>
      <w:r>
        <w:rPr>
          <w:rFonts w:ascii="Arial" w:hAnsi="Arial"/>
          <w:bCs/>
          <w:sz w:val="24"/>
          <w:szCs w:val="24"/>
        </w:rPr>
        <w:t>Госкорпорацию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Ростех</w:t>
      </w:r>
      <w:proofErr w:type="spellEnd"/>
      <w:r>
        <w:rPr>
          <w:rFonts w:ascii="Arial" w:hAnsi="Arial"/>
          <w:bCs/>
          <w:sz w:val="24"/>
          <w:szCs w:val="24"/>
        </w:rPr>
        <w:t>) вошел в научно-производственный Арктический кластер Санкт-Петербурга</w:t>
      </w:r>
      <w:r w:rsidR="00967D03" w:rsidRPr="00967D03">
        <w:rPr>
          <w:rFonts w:ascii="Arial" w:hAnsi="Arial"/>
          <w:bCs/>
          <w:sz w:val="24"/>
          <w:szCs w:val="24"/>
        </w:rPr>
        <w:t xml:space="preserve">, который объединяет ведущие </w:t>
      </w:r>
      <w:r>
        <w:rPr>
          <w:rFonts w:ascii="Arial" w:hAnsi="Arial"/>
          <w:bCs/>
          <w:sz w:val="24"/>
          <w:szCs w:val="24"/>
        </w:rPr>
        <w:t xml:space="preserve">научные организации и промышленные </w:t>
      </w:r>
      <w:r w:rsidR="00967D03" w:rsidRPr="00967D03">
        <w:rPr>
          <w:rFonts w:ascii="Arial" w:hAnsi="Arial"/>
          <w:bCs/>
          <w:sz w:val="24"/>
          <w:szCs w:val="24"/>
        </w:rPr>
        <w:t>предприятия</w:t>
      </w:r>
      <w:r>
        <w:rPr>
          <w:rFonts w:ascii="Arial" w:hAnsi="Arial"/>
          <w:bCs/>
          <w:sz w:val="24"/>
          <w:szCs w:val="24"/>
        </w:rPr>
        <w:t xml:space="preserve"> </w:t>
      </w:r>
      <w:r w:rsidR="00A80AAC">
        <w:rPr>
          <w:rFonts w:ascii="Arial" w:hAnsi="Arial"/>
          <w:bCs/>
          <w:sz w:val="24"/>
          <w:szCs w:val="24"/>
        </w:rPr>
        <w:t xml:space="preserve">города </w:t>
      </w:r>
      <w:r w:rsidR="00265DF0">
        <w:rPr>
          <w:rFonts w:ascii="Arial" w:hAnsi="Arial"/>
          <w:bCs/>
          <w:sz w:val="24"/>
          <w:szCs w:val="24"/>
        </w:rPr>
        <w:t>для реализации совместных проектов по освоению и развитию</w:t>
      </w:r>
      <w:r w:rsidR="00265DF0" w:rsidRPr="00141987">
        <w:rPr>
          <w:rFonts w:ascii="Arial" w:hAnsi="Arial"/>
          <w:bCs/>
          <w:sz w:val="24"/>
          <w:szCs w:val="24"/>
        </w:rPr>
        <w:t xml:space="preserve"> </w:t>
      </w:r>
      <w:r w:rsidR="00265DF0">
        <w:rPr>
          <w:rFonts w:ascii="Arial" w:hAnsi="Arial"/>
          <w:bCs/>
          <w:sz w:val="24"/>
          <w:szCs w:val="24"/>
        </w:rPr>
        <w:t>Арктической зоны России</w:t>
      </w:r>
      <w:r w:rsidRPr="00027CF5">
        <w:rPr>
          <w:rFonts w:ascii="Arial" w:hAnsi="Arial"/>
          <w:bCs/>
          <w:sz w:val="24"/>
          <w:szCs w:val="24"/>
        </w:rPr>
        <w:t>.</w:t>
      </w:r>
    </w:p>
    <w:p w:rsidR="00141987" w:rsidRPr="00141987" w:rsidRDefault="00141987" w:rsidP="00141987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 w:rsidRPr="00141987">
        <w:rPr>
          <w:rFonts w:ascii="Arial" w:hAnsi="Arial"/>
          <w:bCs/>
          <w:sz w:val="24"/>
          <w:szCs w:val="24"/>
        </w:rPr>
        <w:t>Кластер создан п</w:t>
      </w:r>
      <w:r w:rsidR="00027CF5" w:rsidRPr="00141987">
        <w:rPr>
          <w:rFonts w:ascii="Arial" w:hAnsi="Arial"/>
          <w:bCs/>
          <w:sz w:val="24"/>
          <w:szCs w:val="24"/>
        </w:rPr>
        <w:t>о инициативе Комитета Санкт-Петербурга по делам Арктики в 2020 году</w:t>
      </w:r>
      <w:r w:rsidRPr="00141987">
        <w:rPr>
          <w:rFonts w:ascii="Arial" w:hAnsi="Arial"/>
          <w:bCs/>
          <w:sz w:val="24"/>
          <w:szCs w:val="24"/>
        </w:rPr>
        <w:t xml:space="preserve">. </w:t>
      </w:r>
      <w:r w:rsidR="00265DF0">
        <w:rPr>
          <w:rFonts w:ascii="Arial" w:hAnsi="Arial"/>
          <w:bCs/>
          <w:sz w:val="24"/>
          <w:szCs w:val="24"/>
        </w:rPr>
        <w:t xml:space="preserve">Предприятия кластера создают современные навигационно-телекоммуникационные системы, радиолокационные комплексы, средства </w:t>
      </w:r>
      <w:proofErr w:type="spellStart"/>
      <w:r w:rsidR="00265DF0">
        <w:rPr>
          <w:rFonts w:ascii="Arial" w:hAnsi="Arial"/>
          <w:bCs/>
          <w:sz w:val="24"/>
          <w:szCs w:val="24"/>
        </w:rPr>
        <w:t>загоризонтной</w:t>
      </w:r>
      <w:proofErr w:type="spellEnd"/>
      <w:r w:rsidR="00265DF0">
        <w:rPr>
          <w:rFonts w:ascii="Arial" w:hAnsi="Arial"/>
          <w:bCs/>
          <w:sz w:val="24"/>
          <w:szCs w:val="24"/>
        </w:rPr>
        <w:t xml:space="preserve"> связи, </w:t>
      </w:r>
      <w:r w:rsidR="00A80AAC">
        <w:rPr>
          <w:rFonts w:ascii="Arial" w:hAnsi="Arial"/>
          <w:bCs/>
          <w:sz w:val="24"/>
          <w:szCs w:val="24"/>
        </w:rPr>
        <w:t xml:space="preserve">измерительное оборудование, робототехнические комплексы, </w:t>
      </w:r>
      <w:proofErr w:type="spellStart"/>
      <w:r w:rsidR="00A80AAC">
        <w:rPr>
          <w:rFonts w:ascii="Arial" w:hAnsi="Arial"/>
          <w:bCs/>
          <w:sz w:val="24"/>
          <w:szCs w:val="24"/>
        </w:rPr>
        <w:t>георадары</w:t>
      </w:r>
      <w:proofErr w:type="spellEnd"/>
      <w:r w:rsidR="00A80AAC" w:rsidRPr="00027CF5">
        <w:rPr>
          <w:rFonts w:ascii="Arial" w:hAnsi="Arial"/>
          <w:bCs/>
          <w:sz w:val="24"/>
          <w:szCs w:val="24"/>
        </w:rPr>
        <w:t xml:space="preserve"> для измерения глубин водоемов и толщины ледяного покрова</w:t>
      </w:r>
      <w:r w:rsidR="00A80AAC" w:rsidRPr="00A80AAC">
        <w:rPr>
          <w:rFonts w:ascii="Arial" w:hAnsi="Arial"/>
          <w:bCs/>
          <w:sz w:val="24"/>
          <w:szCs w:val="24"/>
        </w:rPr>
        <w:t>.</w:t>
      </w:r>
    </w:p>
    <w:p w:rsidR="00A04222" w:rsidRPr="00E4637F" w:rsidRDefault="0019573A" w:rsidP="00A04222">
      <w:pPr>
        <w:pStyle w:val="2"/>
        <w:shd w:val="clear" w:color="auto" w:fill="FFFFFF"/>
        <w:tabs>
          <w:tab w:val="left" w:pos="3540"/>
        </w:tabs>
        <w:spacing w:after="0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 w:rsidRPr="0019573A">
        <w:rPr>
          <w:rFonts w:ascii="Arial" w:eastAsia="Arial Unicode MS" w:hAnsi="Arial" w:cs="Arial Unicode MS"/>
          <w:bCs/>
          <w:szCs w:val="24"/>
        </w:rPr>
        <w:t>НИИ «Нептун</w:t>
      </w:r>
      <w:r>
        <w:rPr>
          <w:rFonts w:ascii="Arial" w:hAnsi="Arial"/>
          <w:bCs/>
          <w:szCs w:val="24"/>
        </w:rPr>
        <w:t xml:space="preserve">» является </w:t>
      </w:r>
      <w:r w:rsidRPr="00A04222">
        <w:rPr>
          <w:rFonts w:ascii="Arial" w:eastAsia="Arial Unicode MS" w:hAnsi="Arial" w:cs="Arial Unicode MS"/>
          <w:bCs/>
          <w:szCs w:val="24"/>
        </w:rPr>
        <w:t>одним</w:t>
      </w:r>
      <w:r w:rsidRPr="0019573A">
        <w:rPr>
          <w:rFonts w:ascii="Arial" w:eastAsia="Arial Unicode MS" w:hAnsi="Arial" w:cs="Arial Unicode MS"/>
          <w:bCs/>
          <w:szCs w:val="24"/>
        </w:rPr>
        <w:t xml:space="preserve"> из ведущих российск</w:t>
      </w:r>
      <w:r w:rsidR="00D25B37">
        <w:rPr>
          <w:rFonts w:ascii="Arial" w:eastAsia="Arial Unicode MS" w:hAnsi="Arial" w:cs="Arial Unicode MS"/>
          <w:bCs/>
          <w:szCs w:val="24"/>
        </w:rPr>
        <w:t>их предприятий, специализирующих</w:t>
      </w:r>
      <w:r w:rsidRPr="0019573A">
        <w:rPr>
          <w:rFonts w:ascii="Arial" w:eastAsia="Arial Unicode MS" w:hAnsi="Arial" w:cs="Arial Unicode MS"/>
          <w:bCs/>
          <w:szCs w:val="24"/>
        </w:rPr>
        <w:t xml:space="preserve">ся на разработке и производстве автоматизированных систем и комплексов связи для кораблей </w:t>
      </w:r>
      <w:r w:rsidRPr="00A04222">
        <w:rPr>
          <w:rFonts w:ascii="Arial" w:eastAsia="Arial Unicode MS" w:hAnsi="Arial" w:cs="Arial Unicode MS"/>
          <w:bCs/>
          <w:szCs w:val="24"/>
        </w:rPr>
        <w:t xml:space="preserve">и </w:t>
      </w:r>
      <w:r w:rsidRPr="0019573A">
        <w:rPr>
          <w:rFonts w:ascii="Arial" w:eastAsia="Arial Unicode MS" w:hAnsi="Arial" w:cs="Arial Unicode MS"/>
          <w:bCs/>
          <w:szCs w:val="24"/>
        </w:rPr>
        <w:t>береговых объектов.</w:t>
      </w:r>
      <w:r w:rsidRPr="00A04222">
        <w:rPr>
          <w:rFonts w:ascii="Arial" w:eastAsia="Arial Unicode MS" w:hAnsi="Arial" w:cs="Arial Unicode MS"/>
          <w:bCs/>
          <w:szCs w:val="24"/>
        </w:rPr>
        <w:t xml:space="preserve"> В час</w:t>
      </w:r>
      <w:r w:rsidR="00A04222" w:rsidRPr="00A04222">
        <w:rPr>
          <w:rFonts w:ascii="Arial" w:eastAsia="Arial Unicode MS" w:hAnsi="Arial" w:cs="Arial Unicode MS"/>
          <w:bCs/>
          <w:szCs w:val="24"/>
        </w:rPr>
        <w:t>тности, предприятием разработана аппаратура связи для оснащения Северного морского пути</w:t>
      </w:r>
      <w:r w:rsidR="00A04222">
        <w:rPr>
          <w:rFonts w:ascii="Arial" w:eastAsia="Arial Unicode MS" w:hAnsi="Arial" w:cs="Arial Unicode MS"/>
          <w:bCs/>
          <w:szCs w:val="24"/>
        </w:rPr>
        <w:t xml:space="preserve">. </w:t>
      </w:r>
      <w:r w:rsidR="00D25B37">
        <w:rPr>
          <w:rFonts w:ascii="Arial" w:eastAsia="Arial Unicode MS" w:hAnsi="Arial" w:cs="Arial Unicode MS"/>
          <w:bCs/>
          <w:szCs w:val="24"/>
        </w:rPr>
        <w:t>Комплекс «Нептун-ПВ</w:t>
      </w:r>
      <w:r w:rsidR="00D25B37" w:rsidRPr="00D25B37">
        <w:rPr>
          <w:rFonts w:ascii="Arial" w:eastAsia="Arial Unicode MS" w:hAnsi="Arial" w:cs="Arial Unicode MS"/>
          <w:bCs/>
          <w:szCs w:val="24"/>
        </w:rPr>
        <w:t>/</w:t>
      </w:r>
      <w:r w:rsidR="00D25B37">
        <w:rPr>
          <w:rFonts w:ascii="Arial" w:eastAsia="Arial Unicode MS" w:hAnsi="Arial" w:cs="Arial Unicode MS"/>
          <w:bCs/>
          <w:szCs w:val="24"/>
        </w:rPr>
        <w:t xml:space="preserve">КВ» </w:t>
      </w:r>
      <w:r w:rsidR="00A04222" w:rsidRPr="00E4637F">
        <w:rPr>
          <w:rFonts w:ascii="Arial" w:eastAsiaTheme="minorHAnsi" w:hAnsi="Arial" w:cs="Arial"/>
          <w:color w:val="auto"/>
          <w:szCs w:val="24"/>
          <w:lang w:eastAsia="en-US"/>
        </w:rPr>
        <w:t>может применяться во всех морских районах плавания для организации радиосвязи в ПВ/КВ диапазоне с морскими, рыбопромысловыми судами, а также судами «река-море». Оборудов</w:t>
      </w:r>
      <w:r w:rsidR="00A04222">
        <w:rPr>
          <w:rFonts w:ascii="Arial" w:eastAsiaTheme="minorHAnsi" w:hAnsi="Arial" w:cs="Arial"/>
          <w:color w:val="auto"/>
          <w:szCs w:val="24"/>
          <w:lang w:eastAsia="en-US"/>
        </w:rPr>
        <w:t>ание передает подтверждения прие</w:t>
      </w:r>
      <w:r w:rsidR="00A04222" w:rsidRPr="00E4637F">
        <w:rPr>
          <w:rFonts w:ascii="Arial" w:eastAsiaTheme="minorHAnsi" w:hAnsi="Arial" w:cs="Arial"/>
          <w:color w:val="auto"/>
          <w:szCs w:val="24"/>
          <w:lang w:eastAsia="en-US"/>
        </w:rPr>
        <w:t>ма сигналов бедствия, поддерживает радиотелеф</w:t>
      </w:r>
      <w:r w:rsidR="00A04222">
        <w:rPr>
          <w:rFonts w:ascii="Arial" w:eastAsiaTheme="minorHAnsi" w:hAnsi="Arial" w:cs="Arial"/>
          <w:color w:val="auto"/>
          <w:szCs w:val="24"/>
          <w:lang w:eastAsia="en-US"/>
        </w:rPr>
        <w:t xml:space="preserve">онную и радиотелеграфную связь, а также </w:t>
      </w:r>
      <w:r w:rsidR="00A04222" w:rsidRPr="00E4637F">
        <w:rPr>
          <w:rFonts w:ascii="Arial" w:eastAsiaTheme="minorHAnsi" w:hAnsi="Arial" w:cs="Arial"/>
          <w:color w:val="auto"/>
          <w:szCs w:val="24"/>
          <w:lang w:eastAsia="en-US"/>
        </w:rPr>
        <w:t>цифровой избирательный вызов.</w:t>
      </w:r>
      <w:r w:rsidR="00A04222">
        <w:rPr>
          <w:rFonts w:ascii="Arial" w:eastAsiaTheme="minorHAnsi" w:hAnsi="Arial" w:cs="Arial"/>
          <w:color w:val="auto"/>
          <w:szCs w:val="24"/>
          <w:lang w:eastAsia="en-US"/>
        </w:rPr>
        <w:t xml:space="preserve"> </w:t>
      </w:r>
    </w:p>
    <w:p w:rsidR="00265DF0" w:rsidRDefault="00265DF0" w:rsidP="00265DF0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 w:rsidRPr="00967D03">
        <w:rPr>
          <w:rFonts w:ascii="Arial" w:hAnsi="Arial"/>
          <w:bCs/>
          <w:sz w:val="24"/>
          <w:szCs w:val="24"/>
        </w:rPr>
        <w:t xml:space="preserve">«Сотрудничество в рамках </w:t>
      </w:r>
      <w:r w:rsidR="00D83909">
        <w:rPr>
          <w:rFonts w:ascii="Arial" w:hAnsi="Arial"/>
          <w:bCs/>
          <w:sz w:val="24"/>
          <w:szCs w:val="24"/>
        </w:rPr>
        <w:t>кластера п</w:t>
      </w:r>
      <w:r w:rsidRPr="00967D03">
        <w:rPr>
          <w:rFonts w:ascii="Arial" w:hAnsi="Arial"/>
          <w:bCs/>
          <w:sz w:val="24"/>
          <w:szCs w:val="24"/>
        </w:rPr>
        <w:t xml:space="preserve">озволит </w:t>
      </w:r>
      <w:r w:rsidR="00D83909">
        <w:rPr>
          <w:rFonts w:ascii="Arial" w:hAnsi="Arial"/>
          <w:bCs/>
          <w:sz w:val="24"/>
          <w:szCs w:val="24"/>
        </w:rPr>
        <w:t>объединить компетенции предприятий для решения вопросов научно-технологического развития Аркти</w:t>
      </w:r>
      <w:r w:rsidR="003F127D">
        <w:rPr>
          <w:rFonts w:ascii="Arial" w:hAnsi="Arial"/>
          <w:bCs/>
          <w:sz w:val="24"/>
          <w:szCs w:val="24"/>
        </w:rPr>
        <w:t>ки, а также станет драйвером для развития новых направлений и создания новых продуктов. У нашего предприятия накоплен богатый опыт реализации проектов в интересах флота, которые могут успешно использоваться в Арктической зоне</w:t>
      </w:r>
      <w:r w:rsidRPr="00967D03">
        <w:rPr>
          <w:rFonts w:ascii="Arial" w:hAnsi="Arial"/>
          <w:bCs/>
          <w:sz w:val="24"/>
          <w:szCs w:val="24"/>
        </w:rPr>
        <w:t xml:space="preserve">», - отметил генеральный директор </w:t>
      </w:r>
      <w:r>
        <w:rPr>
          <w:rFonts w:ascii="Arial" w:hAnsi="Arial"/>
          <w:bCs/>
          <w:sz w:val="24"/>
          <w:szCs w:val="24"/>
        </w:rPr>
        <w:t xml:space="preserve">НИИ «Нептун» </w:t>
      </w:r>
      <w:r w:rsidRPr="00265DF0">
        <w:rPr>
          <w:rFonts w:ascii="Arial" w:hAnsi="Arial"/>
          <w:b/>
          <w:bCs/>
          <w:sz w:val="24"/>
          <w:szCs w:val="24"/>
        </w:rPr>
        <w:t>Михаил Винокур</w:t>
      </w:r>
      <w:r w:rsidRPr="00967D03">
        <w:rPr>
          <w:rFonts w:ascii="Arial" w:hAnsi="Arial"/>
          <w:bCs/>
          <w:sz w:val="24"/>
          <w:szCs w:val="24"/>
        </w:rPr>
        <w:t>.</w:t>
      </w:r>
    </w:p>
    <w:p w:rsidR="00D71DA5" w:rsidRPr="00967D03" w:rsidRDefault="00141987" w:rsidP="00D71DA5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Помимо НИИ «Нептун», в Арктический кластер Санкт-Петербурга входят еще несколько предприятий «</w:t>
      </w:r>
      <w:proofErr w:type="spellStart"/>
      <w:r>
        <w:rPr>
          <w:rFonts w:ascii="Arial" w:hAnsi="Arial"/>
          <w:bCs/>
          <w:sz w:val="24"/>
          <w:szCs w:val="24"/>
        </w:rPr>
        <w:t>Росэлектроники</w:t>
      </w:r>
      <w:proofErr w:type="spellEnd"/>
      <w:r>
        <w:rPr>
          <w:rFonts w:ascii="Arial" w:hAnsi="Arial"/>
          <w:bCs/>
          <w:sz w:val="24"/>
          <w:szCs w:val="24"/>
        </w:rPr>
        <w:t>» - ПАО «</w:t>
      </w:r>
      <w:proofErr w:type="spellStart"/>
      <w:r>
        <w:rPr>
          <w:rFonts w:ascii="Arial" w:hAnsi="Arial"/>
          <w:bCs/>
          <w:sz w:val="24"/>
          <w:szCs w:val="24"/>
        </w:rPr>
        <w:t>Интелтех</w:t>
      </w:r>
      <w:proofErr w:type="spellEnd"/>
      <w:r>
        <w:rPr>
          <w:rFonts w:ascii="Arial" w:hAnsi="Arial"/>
          <w:bCs/>
          <w:sz w:val="24"/>
          <w:szCs w:val="24"/>
        </w:rPr>
        <w:t xml:space="preserve">», ЦНИИ «Электрон», НИИ «Вектор», Завод «Энергия». </w:t>
      </w:r>
    </w:p>
    <w:p w:rsidR="007635E4" w:rsidRDefault="00E84B9F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</w:rPr>
        <w:t xml:space="preserve">Холдинг </w:t>
      </w:r>
      <w:r w:rsidR="007635E4">
        <w:rPr>
          <w:rFonts w:ascii="Arial" w:hAnsi="Arial"/>
          <w:b/>
          <w:bCs/>
          <w:sz w:val="18"/>
          <w:szCs w:val="18"/>
        </w:rPr>
        <w:t>«</w:t>
      </w:r>
      <w:proofErr w:type="spellStart"/>
      <w:r w:rsidR="007635E4">
        <w:rPr>
          <w:rFonts w:ascii="Arial" w:hAnsi="Arial"/>
          <w:b/>
          <w:bCs/>
          <w:sz w:val="18"/>
          <w:szCs w:val="18"/>
        </w:rPr>
        <w:t>Росэлектроника</w:t>
      </w:r>
      <w:proofErr w:type="spellEnd"/>
      <w:r w:rsidR="007635E4">
        <w:rPr>
          <w:rFonts w:ascii="Arial" w:hAnsi="Arial"/>
          <w:b/>
          <w:bCs/>
          <w:sz w:val="18"/>
          <w:szCs w:val="18"/>
        </w:rPr>
        <w:t xml:space="preserve">» </w:t>
      </w:r>
      <w:r w:rsidR="007635E4">
        <w:rPr>
          <w:rFonts w:ascii="Arial" w:hAnsi="Arial"/>
          <w:sz w:val="18"/>
          <w:szCs w:val="18"/>
        </w:rPr>
        <w:t xml:space="preserve">является ключевым участником радиоэлектронного рынка. Образована в 1997 году, в 2009 году вошла в состав </w:t>
      </w:r>
      <w:proofErr w:type="spellStart"/>
      <w:r w:rsidR="007635E4">
        <w:rPr>
          <w:rFonts w:ascii="Arial" w:hAnsi="Arial"/>
          <w:sz w:val="18"/>
          <w:szCs w:val="18"/>
        </w:rPr>
        <w:t>Госкорпорации</w:t>
      </w:r>
      <w:proofErr w:type="spellEnd"/>
      <w:r w:rsidR="007635E4">
        <w:rPr>
          <w:rFonts w:ascii="Arial" w:hAnsi="Arial"/>
          <w:sz w:val="18"/>
          <w:szCs w:val="18"/>
        </w:rPr>
        <w:t xml:space="preserve"> </w:t>
      </w:r>
      <w:proofErr w:type="spellStart"/>
      <w:r w:rsidR="007635E4">
        <w:rPr>
          <w:rFonts w:ascii="Arial" w:hAnsi="Arial"/>
          <w:sz w:val="18"/>
          <w:szCs w:val="18"/>
        </w:rPr>
        <w:t>Ростех</w:t>
      </w:r>
      <w:proofErr w:type="spellEnd"/>
      <w:r w:rsidR="007635E4">
        <w:rPr>
          <w:rFonts w:ascii="Arial" w:hAnsi="Arial"/>
          <w:sz w:val="18"/>
          <w:szCs w:val="18"/>
        </w:rPr>
        <w:t>. На сегодняшний день холдинговая компания формирует более 50% выпуска электронных компонентов в России, 8% выпуска продукции радиоэлектронной отрасли в целом и обеспечивает более 10% рабочих мест отрасли. Холдинг объединяет более 120 предприятий и научных организаций, специализирующихся на разработке и производстве радиоэлектронных компонентов и технологий, средств и систем связи, автоматизированных систем управления, робототехнических комплексов, СВЧ-радиоэлектроники, вычислительной техники и телекоммуникационного оборудования. Общая численность сотрудников – более 70 тысяч человек. Годовая совокупная выручка предприятий холдинга превышает 150 млрд руб. Продукция холдинга поставляется более чем в 30 стран мира, в том числе страны Европы, Юго-Восточной Азии, Ближнего Востока, Африки и Латинской Америки.</w:t>
      </w:r>
      <w:r w:rsidR="007635E4">
        <w:rPr>
          <w:rFonts w:ascii="Arial" w:hAnsi="Arial"/>
          <w:b/>
          <w:bCs/>
          <w:sz w:val="18"/>
          <w:szCs w:val="18"/>
        </w:rPr>
        <w:t xml:space="preserve"> </w:t>
      </w:r>
    </w:p>
    <w:p w:rsidR="00691329" w:rsidRPr="00691329" w:rsidRDefault="007635E4" w:rsidP="00691329">
      <w:pPr>
        <w:pStyle w:val="1"/>
        <w:spacing w:before="10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</w:rPr>
        <w:lastRenderedPageBreak/>
        <w:t>Госкорпорация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Ростех</w:t>
      </w:r>
      <w:proofErr w:type="spellEnd"/>
      <w:r>
        <w:rPr>
          <w:rFonts w:ascii="Arial" w:hAnsi="Arial"/>
          <w:sz w:val="18"/>
          <w:szCs w:val="18"/>
        </w:rPr>
        <w:t xml:space="preserve"> – российская корпорация, созданная в 2007 г. для содействия разработке, производству и экспорту высокотехнологичной промышленной продукции гражданского и военного назначения. В её состав входят более 700 организаций, из которых в настоящее время сформировано 11 холдинговых компаний в оборонно-промышленном комплексе и 3 – в гражданских отраслях промышленности, а также более 80 организаций прямого управления. В портфель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входят такие известные бренды, как АВТОВАЗ, КАМАЗ, Концерн Калашников, «Вертолёты России», ВСМПО-АВИСМА, Уралвагонзавод и т. д. Организации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расположены на территории 60 субъектов РФ и поставляют продукцию на рынки более 70 стран. Консолидированная выручка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в 2016 году достигла 1 трлн. 266 млрд. рублей, консолидированная чистая прибыль – 88 млрд. рублей, а EBITDA – 268 млрд. рублей. Заработная плата в среднем по Корпорации в 2016 году составила 44 000 рублей. Согласно стратегии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, основной задачей Корпорации является обеспечение технологического преимущества России на </w:t>
      </w:r>
      <w:proofErr w:type="spellStart"/>
      <w:r>
        <w:rPr>
          <w:rFonts w:ascii="Arial" w:hAnsi="Arial"/>
          <w:sz w:val="18"/>
          <w:szCs w:val="18"/>
        </w:rPr>
        <w:t>высококонкурентных</w:t>
      </w:r>
      <w:proofErr w:type="spellEnd"/>
      <w:r>
        <w:rPr>
          <w:rFonts w:ascii="Arial" w:hAnsi="Arial"/>
          <w:sz w:val="18"/>
          <w:szCs w:val="18"/>
        </w:rPr>
        <w:t xml:space="preserve"> мировых рынках. Одной из ключевых задач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является внедрение нового технологического уклада и </w:t>
      </w:r>
      <w:proofErr w:type="spellStart"/>
      <w:r>
        <w:rPr>
          <w:rFonts w:ascii="Arial" w:hAnsi="Arial"/>
          <w:sz w:val="18"/>
          <w:szCs w:val="18"/>
        </w:rPr>
        <w:t>цифровизация</w:t>
      </w:r>
      <w:proofErr w:type="spellEnd"/>
      <w:r>
        <w:rPr>
          <w:rFonts w:ascii="Arial" w:hAnsi="Arial"/>
          <w:sz w:val="18"/>
          <w:szCs w:val="18"/>
        </w:rPr>
        <w:t xml:space="preserve"> российской экономики.</w:t>
      </w:r>
    </w:p>
    <w:p w:rsidR="00691329" w:rsidRPr="00691329" w:rsidRDefault="00691329" w:rsidP="00D1242A"/>
    <w:sectPr w:rsidR="00691329" w:rsidRPr="0069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0C1"/>
    <w:multiLevelType w:val="multilevel"/>
    <w:tmpl w:val="1DE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2A"/>
    <w:rsid w:val="00016633"/>
    <w:rsid w:val="00027CF5"/>
    <w:rsid w:val="0005620A"/>
    <w:rsid w:val="000C706D"/>
    <w:rsid w:val="000D3F93"/>
    <w:rsid w:val="000E4257"/>
    <w:rsid w:val="00104560"/>
    <w:rsid w:val="001201D5"/>
    <w:rsid w:val="00141987"/>
    <w:rsid w:val="001878FD"/>
    <w:rsid w:val="0019573A"/>
    <w:rsid w:val="001A6592"/>
    <w:rsid w:val="00221B69"/>
    <w:rsid w:val="00232553"/>
    <w:rsid w:val="00265DF0"/>
    <w:rsid w:val="002A2D94"/>
    <w:rsid w:val="002B6282"/>
    <w:rsid w:val="002E3CB3"/>
    <w:rsid w:val="002E6FFE"/>
    <w:rsid w:val="002F060C"/>
    <w:rsid w:val="00300FA0"/>
    <w:rsid w:val="003A40B3"/>
    <w:rsid w:val="003B3ECF"/>
    <w:rsid w:val="003D0D18"/>
    <w:rsid w:val="003F127D"/>
    <w:rsid w:val="00406D77"/>
    <w:rsid w:val="00414642"/>
    <w:rsid w:val="004216D6"/>
    <w:rsid w:val="004326F6"/>
    <w:rsid w:val="00444DF5"/>
    <w:rsid w:val="00465CD3"/>
    <w:rsid w:val="004700E9"/>
    <w:rsid w:val="0048475C"/>
    <w:rsid w:val="00496BB0"/>
    <w:rsid w:val="004A60A6"/>
    <w:rsid w:val="005057DE"/>
    <w:rsid w:val="005059CD"/>
    <w:rsid w:val="0052245B"/>
    <w:rsid w:val="0052716F"/>
    <w:rsid w:val="005700F7"/>
    <w:rsid w:val="005A77C0"/>
    <w:rsid w:val="0065447E"/>
    <w:rsid w:val="00661477"/>
    <w:rsid w:val="00691329"/>
    <w:rsid w:val="006A3EFF"/>
    <w:rsid w:val="00715DD5"/>
    <w:rsid w:val="00726963"/>
    <w:rsid w:val="007548B8"/>
    <w:rsid w:val="007635E4"/>
    <w:rsid w:val="007A0C3B"/>
    <w:rsid w:val="007B4A7C"/>
    <w:rsid w:val="00804D96"/>
    <w:rsid w:val="008B39D9"/>
    <w:rsid w:val="008E74DC"/>
    <w:rsid w:val="00923DC9"/>
    <w:rsid w:val="00933C12"/>
    <w:rsid w:val="00967D03"/>
    <w:rsid w:val="009C46D9"/>
    <w:rsid w:val="009E1485"/>
    <w:rsid w:val="00A04222"/>
    <w:rsid w:val="00A14D7B"/>
    <w:rsid w:val="00A205A8"/>
    <w:rsid w:val="00A6007B"/>
    <w:rsid w:val="00A70ACE"/>
    <w:rsid w:val="00A80AAC"/>
    <w:rsid w:val="00A95987"/>
    <w:rsid w:val="00B47EFC"/>
    <w:rsid w:val="00B51E0D"/>
    <w:rsid w:val="00B5309D"/>
    <w:rsid w:val="00B536A6"/>
    <w:rsid w:val="00B555FA"/>
    <w:rsid w:val="00B838C9"/>
    <w:rsid w:val="00BA12DF"/>
    <w:rsid w:val="00BD3910"/>
    <w:rsid w:val="00BF40BE"/>
    <w:rsid w:val="00C42333"/>
    <w:rsid w:val="00CD7297"/>
    <w:rsid w:val="00CE341B"/>
    <w:rsid w:val="00D1242A"/>
    <w:rsid w:val="00D25B37"/>
    <w:rsid w:val="00D37059"/>
    <w:rsid w:val="00D71DA5"/>
    <w:rsid w:val="00D83909"/>
    <w:rsid w:val="00E01E6D"/>
    <w:rsid w:val="00E037D7"/>
    <w:rsid w:val="00E06832"/>
    <w:rsid w:val="00E14BFF"/>
    <w:rsid w:val="00E2594B"/>
    <w:rsid w:val="00E57643"/>
    <w:rsid w:val="00E7243B"/>
    <w:rsid w:val="00E84B9F"/>
    <w:rsid w:val="00ED3B70"/>
    <w:rsid w:val="00EE5660"/>
    <w:rsid w:val="00FB5632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59D6-011C-48CE-A9B0-6069217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CE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195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3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3">
    <w:name w:val="Normal (Web)"/>
    <w:basedOn w:val="a"/>
    <w:uiPriority w:val="99"/>
    <w:semiHidden/>
    <w:unhideWhenUsed/>
    <w:rsid w:val="0002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27CF5"/>
  </w:style>
  <w:style w:type="character" w:styleId="a4">
    <w:name w:val="Strong"/>
    <w:basedOn w:val="a0"/>
    <w:uiPriority w:val="22"/>
    <w:qFormat/>
    <w:rsid w:val="0014198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9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Верхний колонтитул Знак2"/>
    <w:rsid w:val="0019573A"/>
    <w:pPr>
      <w:suppressAutoHyphens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Полина Сергеевна</dc:creator>
  <cp:keywords/>
  <dc:description/>
  <cp:lastModifiedBy>Гвоздева Полина Сергеевна</cp:lastModifiedBy>
  <cp:revision>2</cp:revision>
  <dcterms:created xsi:type="dcterms:W3CDTF">2020-10-28T11:06:00Z</dcterms:created>
  <dcterms:modified xsi:type="dcterms:W3CDTF">2020-10-28T11:06:00Z</dcterms:modified>
</cp:coreProperties>
</file>