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20" w:rsidRPr="00D61B20" w:rsidRDefault="00D61B20" w:rsidP="00D61B2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61B20">
        <w:rPr>
          <w:rFonts w:ascii="Times New Roman" w:hAnsi="Times New Roman"/>
          <w:b/>
          <w:sz w:val="24"/>
          <w:szCs w:val="24"/>
        </w:rPr>
        <w:t xml:space="preserve">Агентство «Эксперт РА» повысило рейтинг «Балтийского лизинга» до </w:t>
      </w:r>
      <w:proofErr w:type="spellStart"/>
      <w:r w:rsidRPr="00D61B20">
        <w:rPr>
          <w:rFonts w:ascii="Times New Roman" w:hAnsi="Times New Roman"/>
          <w:b/>
          <w:sz w:val="24"/>
          <w:szCs w:val="24"/>
          <w:lang w:val="en-US"/>
        </w:rPr>
        <w:t>ruA</w:t>
      </w:r>
      <w:proofErr w:type="spellEnd"/>
      <w:r w:rsidRPr="00D61B20">
        <w:rPr>
          <w:rFonts w:ascii="Times New Roman" w:hAnsi="Times New Roman"/>
          <w:b/>
          <w:sz w:val="24"/>
          <w:szCs w:val="24"/>
        </w:rPr>
        <w:t>+</w:t>
      </w:r>
    </w:p>
    <w:p w:rsidR="00D61B20" w:rsidRPr="00D61B20" w:rsidRDefault="00D0751B" w:rsidP="00D61B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61B20">
        <w:rPr>
          <w:rFonts w:ascii="Times New Roman" w:hAnsi="Times New Roman"/>
          <w:b/>
          <w:sz w:val="24"/>
          <w:szCs w:val="24"/>
        </w:rPr>
        <w:t>С</w:t>
      </w:r>
      <w:r w:rsidR="00763043" w:rsidRPr="00D61B20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D61B20" w:rsidRPr="00D61B20">
        <w:rPr>
          <w:rFonts w:ascii="Times New Roman" w:hAnsi="Times New Roman"/>
          <w:b/>
          <w:sz w:val="24"/>
          <w:szCs w:val="24"/>
        </w:rPr>
        <w:t>30</w:t>
      </w:r>
      <w:r w:rsidR="003B7C22" w:rsidRPr="00D61B20">
        <w:rPr>
          <w:rFonts w:ascii="Times New Roman" w:hAnsi="Times New Roman"/>
          <w:b/>
          <w:sz w:val="24"/>
          <w:szCs w:val="24"/>
        </w:rPr>
        <w:t xml:space="preserve"> ноября</w:t>
      </w:r>
      <w:r w:rsidR="000F62C2" w:rsidRPr="00D61B20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D61B20">
        <w:rPr>
          <w:rFonts w:ascii="Times New Roman" w:hAnsi="Times New Roman"/>
          <w:b/>
          <w:sz w:val="24"/>
          <w:szCs w:val="24"/>
        </w:rPr>
        <w:t>2020</w:t>
      </w:r>
      <w:r w:rsidR="00763043" w:rsidRPr="00D61B20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D61B20">
        <w:rPr>
          <w:rFonts w:ascii="Times New Roman" w:hAnsi="Times New Roman"/>
          <w:sz w:val="24"/>
          <w:szCs w:val="24"/>
        </w:rPr>
        <w:t xml:space="preserve"> </w:t>
      </w:r>
      <w:r w:rsidR="00D61B20" w:rsidRPr="00D61B20">
        <w:rPr>
          <w:rFonts w:ascii="Times New Roman" w:hAnsi="Times New Roman"/>
          <w:sz w:val="24"/>
          <w:szCs w:val="24"/>
        </w:rPr>
        <w:t xml:space="preserve">Аналитики рейтингового агентства «Эксперт РА» 30 ноября повысили рейтинг кредитоспособности компании «Балтийский лизинг» с уровня </w:t>
      </w:r>
      <w:proofErr w:type="spellStart"/>
      <w:r w:rsidR="00D61B20" w:rsidRPr="00D61B20">
        <w:rPr>
          <w:rFonts w:ascii="Times New Roman" w:hAnsi="Times New Roman"/>
          <w:sz w:val="24"/>
          <w:szCs w:val="24"/>
          <w:lang w:val="en-US"/>
        </w:rPr>
        <w:t>ruA</w:t>
      </w:r>
      <w:proofErr w:type="spellEnd"/>
      <w:r w:rsidR="00D61B20" w:rsidRPr="00D61B20">
        <w:rPr>
          <w:rFonts w:ascii="Times New Roman" w:hAnsi="Times New Roman"/>
          <w:sz w:val="24"/>
          <w:szCs w:val="24"/>
        </w:rPr>
        <w:t xml:space="preserve"> </w:t>
      </w:r>
      <w:r w:rsidR="00D61B20" w:rsidRPr="00D61B20">
        <w:rPr>
          <w:rFonts w:ascii="Times New Roman" w:hAnsi="Times New Roman"/>
          <w:sz w:val="24"/>
          <w:szCs w:val="24"/>
          <w:lang w:val="en-US"/>
        </w:rPr>
        <w:t>c</w:t>
      </w:r>
      <w:r w:rsidR="00D61B20" w:rsidRPr="00D61B20">
        <w:rPr>
          <w:rFonts w:ascii="Times New Roman" w:hAnsi="Times New Roman"/>
          <w:sz w:val="24"/>
          <w:szCs w:val="24"/>
        </w:rPr>
        <w:t xml:space="preserve"> позитивным прогнозом до </w:t>
      </w:r>
      <w:proofErr w:type="spellStart"/>
      <w:r w:rsidR="00D61B20" w:rsidRPr="00D61B20">
        <w:rPr>
          <w:rFonts w:ascii="Times New Roman" w:hAnsi="Times New Roman"/>
          <w:sz w:val="24"/>
          <w:szCs w:val="24"/>
          <w:lang w:val="en-US"/>
        </w:rPr>
        <w:t>ruA</w:t>
      </w:r>
      <w:proofErr w:type="spellEnd"/>
      <w:r w:rsidR="00D61B20" w:rsidRPr="00D61B20">
        <w:rPr>
          <w:rFonts w:ascii="Times New Roman" w:hAnsi="Times New Roman"/>
          <w:sz w:val="24"/>
          <w:szCs w:val="24"/>
        </w:rPr>
        <w:t xml:space="preserve">+ со стабильным прогнозом. </w:t>
      </w:r>
    </w:p>
    <w:p w:rsidR="00D61B20" w:rsidRPr="00D61B20" w:rsidRDefault="00D61B20" w:rsidP="00D61B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61B20">
        <w:rPr>
          <w:rFonts w:ascii="Times New Roman" w:hAnsi="Times New Roman"/>
          <w:sz w:val="24"/>
          <w:szCs w:val="24"/>
        </w:rPr>
        <w:t>«Агентство отмечает усиление конкурентных позиций компании на рынке за последние 12 месяцев (доля компании на рынке по объему нового бизнеса увеличилась с 3,8% по итогам 9 месяцев 2019-го до 4,7% по итогам 9 месяцев 2020-го) при сохранении на адекватном уровне ключевых финансовых метрик. Рейтинг обусловлен сильными рыночными позициями, приемлемой достаточностью капитала и высокой эффективностью деятельности, умеренно высоким качеством лизингового портфеля, а также адекватными оценками ликвидной позиции и уровня корпоративного управления», - говорится в официальном пресс-релизе «Эксперт РА».</w:t>
      </w:r>
    </w:p>
    <w:p w:rsidR="00D61B20" w:rsidRPr="00D61B20" w:rsidRDefault="00D61B20" w:rsidP="00D61B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61B20">
        <w:rPr>
          <w:rFonts w:ascii="Times New Roman" w:hAnsi="Times New Roman"/>
          <w:sz w:val="24"/>
          <w:szCs w:val="24"/>
        </w:rPr>
        <w:t xml:space="preserve">В материале авторы исследования отметили масштаб бизнеса «Балтийского лизинга», напомнив, что по итогам трех кварталов 2020 года компания заняла седьмую строчку </w:t>
      </w:r>
      <w:proofErr w:type="spellStart"/>
      <w:r w:rsidRPr="00D61B20">
        <w:rPr>
          <w:rFonts w:ascii="Times New Roman" w:hAnsi="Times New Roman"/>
          <w:sz w:val="24"/>
          <w:szCs w:val="24"/>
        </w:rPr>
        <w:t>рэнкинга</w:t>
      </w:r>
      <w:proofErr w:type="spellEnd"/>
      <w:r w:rsidRPr="00D61B20">
        <w:rPr>
          <w:rFonts w:ascii="Times New Roman" w:hAnsi="Times New Roman"/>
          <w:sz w:val="24"/>
          <w:szCs w:val="24"/>
        </w:rPr>
        <w:t xml:space="preserve"> российских лизингодателей. Без внимания не остался тот факт, что по МСФО объем чистых инвестиций компании в лизинг за этот же промежуток времени вырос на 18%. Также в числе позитивно влияющих на рейтинг факторов аналитики отметили отсутствие валютного и процентного риска и высокое качество портфеля, обусловленное незначительным процентом проблемных договоров. </w:t>
      </w:r>
    </w:p>
    <w:p w:rsidR="00D61B20" w:rsidRPr="00D61B20" w:rsidRDefault="00D61B20" w:rsidP="00D61B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61B20">
        <w:rPr>
          <w:rFonts w:ascii="Times New Roman" w:hAnsi="Times New Roman"/>
          <w:sz w:val="24"/>
          <w:szCs w:val="24"/>
        </w:rPr>
        <w:t>Этот же вопрос журналист газеты «</w:t>
      </w:r>
      <w:proofErr w:type="spellStart"/>
      <w:r w:rsidRPr="00D61B20">
        <w:rPr>
          <w:rFonts w:ascii="Times New Roman" w:hAnsi="Times New Roman"/>
          <w:sz w:val="24"/>
          <w:szCs w:val="24"/>
        </w:rPr>
        <w:t>Коммерсантъ</w:t>
      </w:r>
      <w:proofErr w:type="spellEnd"/>
      <w:r w:rsidRPr="00D61B20">
        <w:rPr>
          <w:rFonts w:ascii="Times New Roman" w:hAnsi="Times New Roman"/>
          <w:sz w:val="24"/>
          <w:szCs w:val="24"/>
        </w:rPr>
        <w:t xml:space="preserve">» </w:t>
      </w:r>
      <w:hyperlink r:id="rId8" w:history="1">
        <w:r w:rsidRPr="00D61B20">
          <w:rPr>
            <w:rStyle w:val="a9"/>
            <w:rFonts w:ascii="Times New Roman" w:hAnsi="Times New Roman"/>
            <w:sz w:val="24"/>
            <w:szCs w:val="24"/>
          </w:rPr>
          <w:t>недавно обсудил</w:t>
        </w:r>
      </w:hyperlink>
      <w:r w:rsidRPr="00D61B20">
        <w:rPr>
          <w:rFonts w:ascii="Times New Roman" w:hAnsi="Times New Roman"/>
          <w:sz w:val="24"/>
          <w:szCs w:val="24"/>
        </w:rPr>
        <w:t xml:space="preserve"> с генеральным директором «Балтийского лизинга» </w:t>
      </w:r>
      <w:r w:rsidRPr="00D61B20">
        <w:rPr>
          <w:rFonts w:ascii="Times New Roman" w:hAnsi="Times New Roman"/>
          <w:b/>
          <w:sz w:val="24"/>
          <w:szCs w:val="24"/>
        </w:rPr>
        <w:t xml:space="preserve">Дмитрием </w:t>
      </w:r>
      <w:proofErr w:type="spellStart"/>
      <w:r w:rsidRPr="00D61B20">
        <w:rPr>
          <w:rFonts w:ascii="Times New Roman" w:hAnsi="Times New Roman"/>
          <w:b/>
          <w:sz w:val="24"/>
          <w:szCs w:val="24"/>
        </w:rPr>
        <w:t>Корчаговым</w:t>
      </w:r>
      <w:proofErr w:type="spellEnd"/>
      <w:r w:rsidRPr="00D61B20">
        <w:rPr>
          <w:rFonts w:ascii="Times New Roman" w:hAnsi="Times New Roman"/>
          <w:sz w:val="24"/>
          <w:szCs w:val="24"/>
        </w:rPr>
        <w:t>, который подтвердил, что текущая экономическая ситуация на качество портфеля не повлияла.</w:t>
      </w:r>
    </w:p>
    <w:p w:rsidR="00D61B20" w:rsidRPr="00D61B20" w:rsidRDefault="00D61B20" w:rsidP="00D61B2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61B20">
        <w:rPr>
          <w:rFonts w:ascii="Times New Roman" w:hAnsi="Times New Roman"/>
          <w:sz w:val="24"/>
          <w:szCs w:val="24"/>
        </w:rPr>
        <w:t>«Портфель находится в хорошем состоянии. В нем не было таких пострадавших от кризиса отраслей, как авиаперевозки, железнодорожный транспорт, сфера услуг, но при этом он был диверсифицирован. В самом начале пандемии мы стали пересматривать риск-политику, но вскоре вернулись к старым канонам оценки клиентов. Этот подход оправдал себя, поскольку просрочка составила менее 1% от портфеля, размер которого по состоянию на 1 октября 2020 года достиг 75,5 </w:t>
      </w:r>
      <w:proofErr w:type="spellStart"/>
      <w:proofErr w:type="gramStart"/>
      <w:r w:rsidRPr="00D61B20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D61B20">
        <w:rPr>
          <w:rFonts w:ascii="Times New Roman" w:hAnsi="Times New Roman"/>
          <w:sz w:val="24"/>
          <w:szCs w:val="24"/>
        </w:rPr>
        <w:t xml:space="preserve"> рублей. За отсрочкой оплаты платежей обратилось всего 8% наших клиентов, тогда как остальные справились собственными силами. Со второго квартала по сегодняшний день мы реструктуризировали всего 30 договоров, это крайне незначительная цифра в масштабах портфеля», - цитирует «</w:t>
      </w:r>
      <w:proofErr w:type="spellStart"/>
      <w:r w:rsidRPr="00D61B20">
        <w:rPr>
          <w:rFonts w:ascii="Times New Roman" w:hAnsi="Times New Roman"/>
          <w:sz w:val="24"/>
          <w:szCs w:val="24"/>
        </w:rPr>
        <w:t>Коммерсантъ</w:t>
      </w:r>
      <w:proofErr w:type="spellEnd"/>
      <w:r w:rsidRPr="00D61B20">
        <w:rPr>
          <w:rFonts w:ascii="Times New Roman" w:hAnsi="Times New Roman"/>
          <w:sz w:val="24"/>
          <w:szCs w:val="24"/>
        </w:rPr>
        <w:t xml:space="preserve">» слова </w:t>
      </w:r>
      <w:r w:rsidRPr="00D61B20">
        <w:rPr>
          <w:rFonts w:ascii="Times New Roman" w:hAnsi="Times New Roman"/>
          <w:b/>
          <w:sz w:val="24"/>
          <w:szCs w:val="24"/>
        </w:rPr>
        <w:t xml:space="preserve">Дмитрия </w:t>
      </w:r>
      <w:proofErr w:type="spellStart"/>
      <w:r w:rsidRPr="00D61B20">
        <w:rPr>
          <w:rFonts w:ascii="Times New Roman" w:hAnsi="Times New Roman"/>
          <w:b/>
          <w:sz w:val="24"/>
          <w:szCs w:val="24"/>
        </w:rPr>
        <w:t>Корчагова</w:t>
      </w:r>
      <w:proofErr w:type="spellEnd"/>
      <w:r w:rsidRPr="00D61B20">
        <w:rPr>
          <w:rFonts w:ascii="Times New Roman" w:hAnsi="Times New Roman"/>
          <w:b/>
          <w:sz w:val="24"/>
          <w:szCs w:val="24"/>
        </w:rPr>
        <w:t>.</w:t>
      </w:r>
    </w:p>
    <w:p w:rsidR="00AE6084" w:rsidRPr="0064059E" w:rsidRDefault="00BC47D2" w:rsidP="00D61B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7163FA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7E" w:rsidRDefault="00951F7E" w:rsidP="007C7DE5">
      <w:r>
        <w:separator/>
      </w:r>
    </w:p>
  </w:endnote>
  <w:endnote w:type="continuationSeparator" w:id="0">
    <w:p w:rsidR="00951F7E" w:rsidRDefault="00951F7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7E" w:rsidRDefault="00951F7E" w:rsidP="007C7DE5">
      <w:r>
        <w:separator/>
      </w:r>
    </w:p>
  </w:footnote>
  <w:footnote w:type="continuationSeparator" w:id="0">
    <w:p w:rsidR="00951F7E" w:rsidRDefault="00951F7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7E" w:rsidRDefault="00951F7E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F7E" w:rsidRDefault="00951F7E">
    <w:pPr>
      <w:pStyle w:val="a3"/>
    </w:pPr>
  </w:p>
  <w:p w:rsidR="00951F7E" w:rsidRDefault="00951F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8201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2369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1B74"/>
    <w:rsid w:val="001A2456"/>
    <w:rsid w:val="001A36A4"/>
    <w:rsid w:val="001A4D25"/>
    <w:rsid w:val="001A66D6"/>
    <w:rsid w:val="001A6EC2"/>
    <w:rsid w:val="001B0EDA"/>
    <w:rsid w:val="001B1A38"/>
    <w:rsid w:val="001B294D"/>
    <w:rsid w:val="001B37E9"/>
    <w:rsid w:val="001B44BA"/>
    <w:rsid w:val="001B61BD"/>
    <w:rsid w:val="001C2445"/>
    <w:rsid w:val="001C2572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163FA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1EE9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2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5854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81E7-613A-4B4B-B6F3-530E2C2D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462</cp:revision>
  <dcterms:created xsi:type="dcterms:W3CDTF">2018-07-26T07:30:00Z</dcterms:created>
  <dcterms:modified xsi:type="dcterms:W3CDTF">2020-11-30T14:18:00Z</dcterms:modified>
</cp:coreProperties>
</file>