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06"/>
        <w:gridCol w:w="4532"/>
      </w:tblGrid>
      <w:tr w:rsidR="008575D2" w:rsidRPr="00AD391B" w14:paraId="1F5A6DBA" w14:textId="77777777" w:rsidTr="0059493F">
        <w:tc>
          <w:tcPr>
            <w:tcW w:w="4785" w:type="dxa"/>
            <w:shd w:val="clear" w:color="auto" w:fill="auto"/>
          </w:tcPr>
          <w:p w14:paraId="5E323358" w14:textId="77777777" w:rsidR="008575D2" w:rsidRPr="002261EE" w:rsidRDefault="008575D2" w:rsidP="00AC3959">
            <w:pPr>
              <w:spacing w:after="0" w:line="240" w:lineRule="auto"/>
            </w:pPr>
            <w:r>
              <w:rPr>
                <w:rFonts w:ascii="Cambria" w:hAnsi="Cambria"/>
                <w:noProof/>
                <w:lang w:eastAsia="ru-RU"/>
              </w:rPr>
              <w:drawing>
                <wp:inline distT="0" distB="0" distL="0" distR="0" wp14:anchorId="3D805EA8" wp14:editId="00BC235C">
                  <wp:extent cx="3084830" cy="612140"/>
                  <wp:effectExtent l="19050" t="0" r="1270" b="0"/>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srcRect/>
                          <a:stretch>
                            <a:fillRect/>
                          </a:stretch>
                        </pic:blipFill>
                        <pic:spPr bwMode="auto">
                          <a:xfrm>
                            <a:off x="0" y="0"/>
                            <a:ext cx="3084830" cy="612140"/>
                          </a:xfrm>
                          <a:prstGeom prst="rect">
                            <a:avLst/>
                          </a:prstGeom>
                          <a:noFill/>
                          <a:ln w="9525">
                            <a:noFill/>
                            <a:miter lim="800000"/>
                            <a:headEnd/>
                            <a:tailEnd/>
                          </a:ln>
                        </pic:spPr>
                      </pic:pic>
                    </a:graphicData>
                  </a:graphic>
                </wp:inline>
              </w:drawing>
            </w:r>
          </w:p>
        </w:tc>
        <w:tc>
          <w:tcPr>
            <w:tcW w:w="4786" w:type="dxa"/>
            <w:shd w:val="clear" w:color="auto" w:fill="auto"/>
          </w:tcPr>
          <w:p w14:paraId="46E8A590" w14:textId="77777777" w:rsidR="008575D2" w:rsidRPr="008334D7" w:rsidRDefault="008575D2" w:rsidP="00AC3959">
            <w:pPr>
              <w:spacing w:after="0" w:line="240" w:lineRule="auto"/>
              <w:jc w:val="right"/>
              <w:rPr>
                <w:rFonts w:ascii="Cambria" w:hAnsi="Cambria"/>
                <w:b/>
                <w:color w:val="1F497D"/>
                <w:sz w:val="28"/>
                <w:szCs w:val="28"/>
              </w:rPr>
            </w:pPr>
            <w:r w:rsidRPr="008334D7">
              <w:rPr>
                <w:rFonts w:ascii="Cambria" w:hAnsi="Cambria"/>
                <w:b/>
                <w:color w:val="1F497D"/>
                <w:sz w:val="28"/>
                <w:szCs w:val="28"/>
              </w:rPr>
              <w:t>Тольятти</w:t>
            </w:r>
          </w:p>
          <w:p w14:paraId="6624630C" w14:textId="77777777" w:rsidR="008575D2" w:rsidRPr="008334D7" w:rsidRDefault="008575D2" w:rsidP="00AC3959">
            <w:pPr>
              <w:spacing w:after="0" w:line="240" w:lineRule="auto"/>
              <w:jc w:val="right"/>
              <w:rPr>
                <w:rFonts w:ascii="Cambria" w:hAnsi="Cambria"/>
                <w:b/>
                <w:color w:val="1F497D"/>
                <w:sz w:val="28"/>
                <w:szCs w:val="28"/>
              </w:rPr>
            </w:pPr>
            <w:r w:rsidRPr="008334D7">
              <w:rPr>
                <w:rFonts w:ascii="Cambria" w:hAnsi="Cambria"/>
                <w:b/>
                <w:color w:val="1F497D"/>
                <w:sz w:val="28"/>
                <w:szCs w:val="28"/>
              </w:rPr>
              <w:t>Белорусская, 14</w:t>
            </w:r>
          </w:p>
          <w:p w14:paraId="1CF8A61E" w14:textId="77777777" w:rsidR="008575D2" w:rsidRPr="008334D7" w:rsidRDefault="008575D2" w:rsidP="00AC3959">
            <w:pPr>
              <w:spacing w:after="0" w:line="240" w:lineRule="auto"/>
              <w:jc w:val="right"/>
              <w:rPr>
                <w:rFonts w:ascii="Cambria" w:hAnsi="Cambria"/>
                <w:b/>
                <w:color w:val="1F497D"/>
                <w:sz w:val="28"/>
                <w:szCs w:val="28"/>
              </w:rPr>
            </w:pPr>
            <w:r w:rsidRPr="008334D7">
              <w:rPr>
                <w:rFonts w:ascii="Cambria" w:hAnsi="Cambria"/>
                <w:b/>
                <w:color w:val="1F497D"/>
                <w:sz w:val="28"/>
                <w:szCs w:val="28"/>
              </w:rPr>
              <w:t>8 8482 54-64-14</w:t>
            </w:r>
          </w:p>
          <w:p w14:paraId="0A098FD0" w14:textId="77777777" w:rsidR="008575D2" w:rsidRPr="008334D7" w:rsidRDefault="008575D2" w:rsidP="00AC3959">
            <w:pPr>
              <w:spacing w:after="0" w:line="240" w:lineRule="auto"/>
              <w:jc w:val="right"/>
              <w:rPr>
                <w:rFonts w:ascii="Cambria" w:hAnsi="Cambria"/>
                <w:b/>
                <w:color w:val="1F497D"/>
                <w:sz w:val="28"/>
                <w:szCs w:val="28"/>
              </w:rPr>
            </w:pPr>
            <w:r w:rsidRPr="008334D7">
              <w:rPr>
                <w:rFonts w:ascii="Cambria" w:hAnsi="Cambria"/>
                <w:b/>
                <w:color w:val="1F497D"/>
                <w:sz w:val="28"/>
                <w:szCs w:val="28"/>
              </w:rPr>
              <w:t>8</w:t>
            </w:r>
            <w:r>
              <w:rPr>
                <w:rFonts w:ascii="Cambria" w:hAnsi="Cambria"/>
                <w:b/>
                <w:color w:val="1F497D"/>
                <w:sz w:val="28"/>
                <w:szCs w:val="28"/>
              </w:rPr>
              <w:t> </w:t>
            </w:r>
            <w:r w:rsidRPr="008334D7">
              <w:rPr>
                <w:rFonts w:ascii="Cambria" w:hAnsi="Cambria"/>
                <w:b/>
                <w:color w:val="1F497D"/>
                <w:sz w:val="28"/>
                <w:szCs w:val="28"/>
              </w:rPr>
              <w:t>8482 53-93-92</w:t>
            </w:r>
          </w:p>
          <w:p w14:paraId="2BDED9E8" w14:textId="77777777" w:rsidR="008575D2" w:rsidRPr="008334D7" w:rsidRDefault="008575D2" w:rsidP="00AC3959">
            <w:pPr>
              <w:spacing w:after="0" w:line="240" w:lineRule="auto"/>
              <w:jc w:val="right"/>
            </w:pPr>
            <w:r w:rsidRPr="002261EE">
              <w:rPr>
                <w:rFonts w:ascii="Cambria" w:hAnsi="Cambria"/>
                <w:b/>
                <w:color w:val="1F497D"/>
                <w:sz w:val="28"/>
                <w:szCs w:val="28"/>
              </w:rPr>
              <w:t>press</w:t>
            </w:r>
            <w:r w:rsidRPr="008334D7">
              <w:rPr>
                <w:rFonts w:ascii="Cambria" w:hAnsi="Cambria"/>
                <w:b/>
                <w:color w:val="1F497D"/>
                <w:sz w:val="28"/>
                <w:szCs w:val="28"/>
              </w:rPr>
              <w:t>.</w:t>
            </w:r>
            <w:r w:rsidRPr="002261EE">
              <w:rPr>
                <w:rFonts w:ascii="Cambria" w:hAnsi="Cambria"/>
                <w:b/>
                <w:color w:val="1F497D"/>
                <w:sz w:val="28"/>
                <w:szCs w:val="28"/>
              </w:rPr>
              <w:t>tgu</w:t>
            </w:r>
            <w:r w:rsidRPr="008334D7">
              <w:rPr>
                <w:rFonts w:ascii="Cambria" w:hAnsi="Cambria"/>
                <w:b/>
                <w:color w:val="1F497D"/>
                <w:sz w:val="28"/>
                <w:szCs w:val="28"/>
              </w:rPr>
              <w:t>@</w:t>
            </w:r>
            <w:r w:rsidRPr="002261EE">
              <w:rPr>
                <w:rFonts w:ascii="Cambria" w:hAnsi="Cambria"/>
                <w:b/>
                <w:color w:val="1F497D"/>
                <w:sz w:val="28"/>
                <w:szCs w:val="28"/>
              </w:rPr>
              <w:t>yandex</w:t>
            </w:r>
            <w:r w:rsidRPr="008334D7">
              <w:rPr>
                <w:rFonts w:ascii="Cambria" w:hAnsi="Cambria"/>
                <w:b/>
                <w:color w:val="1F497D"/>
                <w:sz w:val="28"/>
                <w:szCs w:val="28"/>
              </w:rPr>
              <w:t>.</w:t>
            </w:r>
            <w:r w:rsidRPr="002261EE">
              <w:rPr>
                <w:rFonts w:ascii="Cambria" w:hAnsi="Cambria"/>
                <w:b/>
                <w:color w:val="1F497D"/>
                <w:sz w:val="28"/>
                <w:szCs w:val="28"/>
              </w:rPr>
              <w:t>ru</w:t>
            </w:r>
          </w:p>
        </w:tc>
      </w:tr>
    </w:tbl>
    <w:p w14:paraId="2E070E0E" w14:textId="77777777" w:rsidR="00156D83" w:rsidRDefault="00156D83" w:rsidP="00C8179D">
      <w:pPr>
        <w:spacing w:line="240" w:lineRule="auto"/>
        <w:jc w:val="center"/>
        <w:rPr>
          <w:rFonts w:ascii="Cambria" w:hAnsi="Cambria"/>
          <w:b/>
          <w:color w:val="1F497D"/>
          <w:sz w:val="28"/>
          <w:szCs w:val="28"/>
        </w:rPr>
      </w:pPr>
    </w:p>
    <w:p w14:paraId="02DAECA1" w14:textId="77777777" w:rsidR="00BA42E5" w:rsidRDefault="00BA42E5" w:rsidP="00BA42E5">
      <w:pPr>
        <w:spacing w:line="240" w:lineRule="auto"/>
        <w:jc w:val="center"/>
        <w:rPr>
          <w:rFonts w:ascii="Cambria" w:hAnsi="Cambria"/>
          <w:b/>
          <w:color w:val="1F497D"/>
          <w:sz w:val="28"/>
          <w:szCs w:val="28"/>
        </w:rPr>
      </w:pPr>
    </w:p>
    <w:p w14:paraId="4066861E" w14:textId="77777777" w:rsidR="00195266" w:rsidRDefault="00195266" w:rsidP="00C35AE6">
      <w:pPr>
        <w:spacing w:line="240" w:lineRule="auto"/>
        <w:jc w:val="center"/>
        <w:rPr>
          <w:rFonts w:ascii="Cambria" w:hAnsi="Cambria"/>
          <w:b/>
          <w:color w:val="1F497D"/>
          <w:sz w:val="28"/>
          <w:szCs w:val="28"/>
        </w:rPr>
      </w:pPr>
      <w:r w:rsidRPr="00195266">
        <w:rPr>
          <w:rFonts w:ascii="Cambria" w:hAnsi="Cambria"/>
          <w:b/>
          <w:color w:val="1F497D"/>
          <w:sz w:val="28"/>
          <w:szCs w:val="28"/>
        </w:rPr>
        <w:t xml:space="preserve">Вузы России объединились в Консорциум </w:t>
      </w:r>
    </w:p>
    <w:p w14:paraId="5A53CA8E" w14:textId="5F725653" w:rsidR="00C35AE6" w:rsidRPr="00BA42E5" w:rsidRDefault="00195266" w:rsidP="00C35AE6">
      <w:pPr>
        <w:spacing w:line="240" w:lineRule="auto"/>
        <w:jc w:val="center"/>
        <w:rPr>
          <w:rFonts w:ascii="Cambria" w:hAnsi="Cambria"/>
          <w:b/>
          <w:color w:val="1F497D"/>
          <w:sz w:val="28"/>
          <w:szCs w:val="28"/>
        </w:rPr>
      </w:pPr>
      <w:r w:rsidRPr="00195266">
        <w:rPr>
          <w:rFonts w:ascii="Cambria" w:hAnsi="Cambria"/>
          <w:b/>
          <w:color w:val="1F497D"/>
          <w:sz w:val="28"/>
          <w:szCs w:val="28"/>
        </w:rPr>
        <w:t>«Цифровые университеты»</w:t>
      </w:r>
    </w:p>
    <w:p w14:paraId="5B8E92B5" w14:textId="77777777" w:rsidR="00C35AE6" w:rsidRPr="00C8179D" w:rsidRDefault="00C35AE6" w:rsidP="00C35AE6">
      <w:pPr>
        <w:spacing w:line="240" w:lineRule="auto"/>
        <w:jc w:val="center"/>
        <w:rPr>
          <w:rFonts w:ascii="Cambria" w:hAnsi="Cambria"/>
          <w:b/>
          <w:color w:val="1F497D"/>
          <w:sz w:val="28"/>
          <w:szCs w:val="28"/>
        </w:rPr>
      </w:pPr>
    </w:p>
    <w:p w14:paraId="1816F558" w14:textId="405D820A" w:rsidR="0090435E" w:rsidRPr="002D4612" w:rsidRDefault="00195266" w:rsidP="0090435E">
      <w:pPr>
        <w:spacing w:after="0"/>
        <w:ind w:firstLine="708"/>
        <w:jc w:val="both"/>
        <w:rPr>
          <w:b/>
          <w:shd w:val="clear" w:color="auto" w:fill="FFFFFF"/>
        </w:rPr>
      </w:pPr>
      <w:r w:rsidRPr="00195266">
        <w:rPr>
          <w:b/>
          <w:shd w:val="clear" w:color="auto" w:fill="FFFFFF"/>
        </w:rPr>
        <w:t>В Консорциум вошли 16 вузов, шесть индустриальных и один научный партн</w:t>
      </w:r>
      <w:r>
        <w:rPr>
          <w:b/>
          <w:shd w:val="clear" w:color="auto" w:fill="FFFFFF"/>
        </w:rPr>
        <w:t>ё</w:t>
      </w:r>
      <w:r w:rsidRPr="00195266">
        <w:rPr>
          <w:b/>
          <w:shd w:val="clear" w:color="auto" w:fill="FFFFFF"/>
        </w:rPr>
        <w:t>р. Участники намерены разработать единые технологические стандарты IT-инфраструктуры и сервисы цифрового университета с дальнейшим формированием рынка IT-решений для высшего образования.</w:t>
      </w:r>
    </w:p>
    <w:p w14:paraId="7F309826" w14:textId="77777777" w:rsidR="00C35AE6" w:rsidRDefault="00C35AE6" w:rsidP="00C35AE6">
      <w:pPr>
        <w:spacing w:after="0" w:line="240" w:lineRule="auto"/>
        <w:ind w:firstLine="708"/>
        <w:jc w:val="both"/>
      </w:pPr>
    </w:p>
    <w:p w14:paraId="490CE605" w14:textId="38563D16" w:rsidR="00195266" w:rsidRDefault="00195266" w:rsidP="00195266">
      <w:pPr>
        <w:spacing w:after="0" w:line="240" w:lineRule="auto"/>
        <w:ind w:firstLine="708"/>
        <w:jc w:val="both"/>
        <w:rPr>
          <w:rFonts w:eastAsia="Times New Roman"/>
          <w:b/>
        </w:rPr>
      </w:pPr>
      <w:r>
        <w:rPr>
          <w:rFonts w:eastAsia="Times New Roman"/>
        </w:rPr>
        <w:t>Отсутствие рынка совместимых цифровых решений для вузов мешает эффективному развитию системы высшего образования в России и достижению необходимого уровня конкурентоспособности на международном рынке образования. Встраивание продаваемых сервисов в свою инфраструктуру требует не только больших средств, но и времени. Цифровые инновации, которые разрабатывают для себя вузы – лидеры цифровизации, также плохо стыкуемы между собой и не пригодны к трансферу.</w:t>
      </w:r>
    </w:p>
    <w:p w14:paraId="0EE1378B" w14:textId="77777777" w:rsidR="00195266" w:rsidRDefault="00195266" w:rsidP="00195266">
      <w:pPr>
        <w:spacing w:after="0" w:line="240" w:lineRule="auto"/>
        <w:ind w:firstLine="708"/>
        <w:jc w:val="both"/>
        <w:rPr>
          <w:rFonts w:eastAsia="Times New Roman"/>
        </w:rPr>
      </w:pPr>
      <w:r>
        <w:rPr>
          <w:rFonts w:eastAsia="Times New Roman"/>
        </w:rPr>
        <w:t>– </w:t>
      </w:r>
      <w:r>
        <w:rPr>
          <w:rFonts w:eastAsia="Times New Roman"/>
          <w:i/>
        </w:rPr>
        <w:t xml:space="preserve">Причина в отсутствии внутреннего отраслевого стандарта, который был бы принят всеми участниками рынка и который можно создать, только инициируя этот процесс снизу, </w:t>
      </w:r>
      <w:r>
        <w:rPr>
          <w:rFonts w:eastAsia="Times New Roman"/>
        </w:rPr>
        <w:t xml:space="preserve">– поясняет </w:t>
      </w:r>
      <w:r>
        <w:rPr>
          <w:rFonts w:eastAsia="Times New Roman"/>
          <w:b/>
        </w:rPr>
        <w:t xml:space="preserve">Михаил </w:t>
      </w:r>
      <w:proofErr w:type="spellStart"/>
      <w:r>
        <w:rPr>
          <w:rFonts w:eastAsia="Times New Roman"/>
          <w:b/>
        </w:rPr>
        <w:t>Криштал</w:t>
      </w:r>
      <w:proofErr w:type="spellEnd"/>
      <w:r>
        <w:rPr>
          <w:rFonts w:eastAsia="Times New Roman"/>
          <w:b/>
        </w:rPr>
        <w:t>,</w:t>
      </w:r>
      <w:r>
        <w:rPr>
          <w:rFonts w:eastAsia="Times New Roman"/>
        </w:rPr>
        <w:t xml:space="preserve"> ректор Тольяттинского госуниверситета, инициировавшего создание Консорциума.</w:t>
      </w:r>
    </w:p>
    <w:p w14:paraId="711C8E49" w14:textId="77777777" w:rsidR="00195266" w:rsidRDefault="00195266" w:rsidP="00195266">
      <w:pPr>
        <w:spacing w:after="0" w:line="240" w:lineRule="auto"/>
        <w:ind w:firstLine="708"/>
        <w:jc w:val="both"/>
        <w:rPr>
          <w:rFonts w:eastAsia="Times New Roman"/>
        </w:rPr>
      </w:pPr>
      <w:r>
        <w:rPr>
          <w:rFonts w:eastAsia="Times New Roman"/>
        </w:rPr>
        <w:t>Единые стандарты IT-инфраструктуры позволят всем вузам – участникам Консорциума формировать свою информационную среду из набора совместимых цифровых сервисов и решений. Это кратно ускорит цифровую трансформацию вузов при значительной экономии ресурсов. Напомним, в соответствии с национальным проектом «Цифровая экономика» к 2023 году в 100 % государственных образовательных организаций высшего образования должны быть внедрены элементы модели «Цифровой университет».</w:t>
      </w:r>
    </w:p>
    <w:p w14:paraId="6F8B6899" w14:textId="77777777" w:rsidR="00195266" w:rsidRDefault="00195266" w:rsidP="00195266">
      <w:pPr>
        <w:spacing w:after="0" w:line="240" w:lineRule="auto"/>
        <w:ind w:firstLine="708"/>
        <w:jc w:val="both"/>
        <w:rPr>
          <w:rFonts w:eastAsia="Times New Roman"/>
        </w:rPr>
      </w:pPr>
      <w:r>
        <w:rPr>
          <w:rFonts w:eastAsia="Times New Roman"/>
        </w:rPr>
        <w:t xml:space="preserve">В основу идеологии Консорциума легла Хартия о цифровизации образовательного пространства, подписанная более чем тридцатью вузами в </w:t>
      </w:r>
      <w:proofErr w:type="spellStart"/>
      <w:r>
        <w:rPr>
          <w:rFonts w:eastAsia="Times New Roman"/>
        </w:rPr>
        <w:t>Сколково</w:t>
      </w:r>
      <w:proofErr w:type="spellEnd"/>
      <w:r>
        <w:rPr>
          <w:rFonts w:eastAsia="Times New Roman"/>
        </w:rPr>
        <w:t xml:space="preserve"> в 2019 году. Её инициировали Тольяттинский госуниверситет, Омский государственный технический университет, НИУ «Московский институт электронной техники» и ООО «Галактика ИТ». В документе заложены принципы формирования российского рынка IT-решений для вузов с набором правил, стимулирующих к кооперации и обеспечивающих ее техническую возможность.</w:t>
      </w:r>
    </w:p>
    <w:p w14:paraId="5238ACF1" w14:textId="77777777" w:rsidR="00195266" w:rsidRDefault="00195266" w:rsidP="00195266">
      <w:pPr>
        <w:spacing w:after="0" w:line="240" w:lineRule="auto"/>
        <w:ind w:firstLine="708"/>
        <w:jc w:val="both"/>
        <w:rPr>
          <w:rFonts w:eastAsia="Times New Roman"/>
        </w:rPr>
      </w:pPr>
      <w:r>
        <w:rPr>
          <w:rFonts w:eastAsia="Times New Roman"/>
        </w:rPr>
        <w:t xml:space="preserve">За это время ТГУ разработал первые версии реестров университетских данных, процессов и сервисов. Кроме того, разработана матрица цифровой зрелости, которая будет доведена до полноценной системы оценки цифровизации вузов. Набор критериев для объективной оценки того, насколько университет является цифровым, станет одним из результатов работы Консорциума. Это позволит любому вузу не просто понимать, на каком уровне цифровой зрелости у него находятся кадры, сервисы, данные, процессы и базовая IT-инфраструктура, а принимать обоснованные решения, на чем сосредоточить свои ресурсы и усилия в дальнейшем развитии. Пока такого набора критериев для матрицы цифровой </w:t>
      </w:r>
      <w:r>
        <w:rPr>
          <w:rFonts w:eastAsia="Times New Roman"/>
        </w:rPr>
        <w:lastRenderedPageBreak/>
        <w:t xml:space="preserve">зрелости нет. В качестве аналога можно рассматривать матрицу TPRL (уровень готовности технологического проекта) с чек-листами и соответствующие </w:t>
      </w:r>
      <w:proofErr w:type="spellStart"/>
      <w:r>
        <w:rPr>
          <w:rFonts w:eastAsia="Times New Roman"/>
        </w:rPr>
        <w:t>госстандарты</w:t>
      </w:r>
      <w:proofErr w:type="spellEnd"/>
      <w:r>
        <w:rPr>
          <w:rFonts w:eastAsia="Times New Roman"/>
        </w:rPr>
        <w:t>.</w:t>
      </w:r>
    </w:p>
    <w:p w14:paraId="634F8106" w14:textId="77777777" w:rsidR="00195266" w:rsidRDefault="00195266" w:rsidP="00195266">
      <w:pPr>
        <w:spacing w:after="0" w:line="240" w:lineRule="auto"/>
        <w:ind w:firstLine="708"/>
        <w:jc w:val="both"/>
        <w:rPr>
          <w:rFonts w:eastAsia="Times New Roman"/>
        </w:rPr>
      </w:pPr>
      <w:r>
        <w:rPr>
          <w:rFonts w:eastAsia="Times New Roman"/>
        </w:rPr>
        <w:t xml:space="preserve">На основании уже имеющихся наработок члены Консорциума договорились о создании единой информационной модели вуза, единых реестров процессов, цифровых сервисов и базовых IT-сервисов, а также пакета стандартов взаимодействия вузовских сервисов и программных продуктов. После того как стандарт будет готов, потребуется сертификация соответствующих решений и IT-инфраструктур вузов требованиям стандарта. Эту функцию мог бы взять на себя регулятор в лице Министерства науки и высшего образования, если не напрямую, то через сертифицированные центры сертификации. Далее предполагается создать </w:t>
      </w:r>
      <w:proofErr w:type="spellStart"/>
      <w:r>
        <w:rPr>
          <w:rFonts w:eastAsia="Times New Roman"/>
        </w:rPr>
        <w:t>маркетплейс</w:t>
      </w:r>
      <w:proofErr w:type="spellEnd"/>
      <w:r>
        <w:rPr>
          <w:rFonts w:eastAsia="Times New Roman"/>
        </w:rPr>
        <w:t xml:space="preserve"> для того, чтобы крупные пакетные IT-решения стыковались между собой и с отдельными сервисами, которые могут делать независимые разработчики, в том числе студенты.</w:t>
      </w:r>
    </w:p>
    <w:p w14:paraId="7C15BD76" w14:textId="46EF9E14" w:rsidR="00195266" w:rsidRDefault="00195266" w:rsidP="00195266">
      <w:pPr>
        <w:spacing w:after="0" w:line="240" w:lineRule="auto"/>
        <w:ind w:firstLine="708"/>
        <w:jc w:val="both"/>
        <w:rPr>
          <w:rFonts w:eastAsia="Times New Roman"/>
        </w:rPr>
      </w:pPr>
      <w:r>
        <w:rPr>
          <w:rFonts w:eastAsia="Times New Roman"/>
        </w:rPr>
        <w:t>Вс</w:t>
      </w:r>
      <w:r w:rsidR="00431EC8">
        <w:rPr>
          <w:rFonts w:eastAsia="Times New Roman"/>
        </w:rPr>
        <w:t>ё</w:t>
      </w:r>
      <w:r>
        <w:rPr>
          <w:rFonts w:eastAsia="Times New Roman"/>
        </w:rPr>
        <w:t xml:space="preserve"> это позволит создать условия для формирования нового рынка – рынка совместимых цифровых решений для высшего образова</w:t>
      </w:r>
      <w:r w:rsidR="00431EC8">
        <w:rPr>
          <w:rFonts w:eastAsia="Times New Roman"/>
        </w:rPr>
        <w:t>ния. Это, в свою очередь, создаё</w:t>
      </w:r>
      <w:r>
        <w:rPr>
          <w:rFonts w:eastAsia="Times New Roman"/>
        </w:rPr>
        <w:t>т реальные технологические возможности для быстрого трансфера инновационных сервисов между вузами и напрямую влияет на достижение цифровой зрелости ключевых отраслей экономики и социальной сферы в соответствии с национальной целью «Цифровая трансформация».</w:t>
      </w:r>
    </w:p>
    <w:p w14:paraId="6912427D" w14:textId="77777777" w:rsidR="00195266" w:rsidRDefault="00195266" w:rsidP="00195266">
      <w:pPr>
        <w:spacing w:after="0" w:line="240" w:lineRule="auto"/>
        <w:ind w:firstLine="708"/>
        <w:jc w:val="both"/>
        <w:rPr>
          <w:rFonts w:eastAsia="Times New Roman"/>
        </w:rPr>
      </w:pPr>
      <w:r>
        <w:rPr>
          <w:rFonts w:eastAsia="Times New Roman"/>
        </w:rPr>
        <w:t>30 ноября завершилось формирование Консорциума. Следующим шагом станет формирование управляющего и наблюдательного советов. Тем вузам, которые захотят войти в Консорциум позже, будет предложено ассоциированное членство с последующим утверждением на общем собрании.</w:t>
      </w:r>
    </w:p>
    <w:p w14:paraId="7C8DA187" w14:textId="11B4CF6D" w:rsidR="00195266" w:rsidRDefault="00195266" w:rsidP="00195266">
      <w:pPr>
        <w:spacing w:after="0" w:line="240" w:lineRule="auto"/>
        <w:ind w:firstLine="708"/>
        <w:jc w:val="both"/>
        <w:rPr>
          <w:rFonts w:eastAsia="Times New Roman"/>
        </w:rPr>
      </w:pPr>
      <w:r>
        <w:rPr>
          <w:rFonts w:eastAsia="Times New Roman"/>
        </w:rPr>
        <w:t>Индустриальными партн</w:t>
      </w:r>
      <w:r w:rsidR="00431EC8">
        <w:rPr>
          <w:rFonts w:eastAsia="Times New Roman"/>
        </w:rPr>
        <w:t>ё</w:t>
      </w:r>
      <w:r>
        <w:rPr>
          <w:rFonts w:eastAsia="Times New Roman"/>
        </w:rPr>
        <w:t>рами Консорциума стали компании «Галактика ИТ», «ТАНДЕМ ИC», «</w:t>
      </w:r>
      <w:proofErr w:type="spellStart"/>
      <w:r>
        <w:rPr>
          <w:rFonts w:eastAsia="Times New Roman"/>
        </w:rPr>
        <w:t>Альтарикс</w:t>
      </w:r>
      <w:proofErr w:type="spellEnd"/>
      <w:r>
        <w:rPr>
          <w:rFonts w:eastAsia="Times New Roman"/>
        </w:rPr>
        <w:t>» и «Системы управления бизнесом», имеющие высокий уровень компетенций в бизнес-аналитике, разработке и внедрении комплексных ИТ-решений для образовательных учреждений. В Консорциум также вошла Лаборатория ММИС, программное обеспечение для управления учебным процессом которой используется более чем в тысяче образовательных организаций высшего и среднего образования России и СНГ. Ещ</w:t>
      </w:r>
      <w:r w:rsidR="00431EC8">
        <w:rPr>
          <w:rFonts w:eastAsia="Times New Roman"/>
        </w:rPr>
        <w:t>ё</w:t>
      </w:r>
      <w:r>
        <w:rPr>
          <w:rFonts w:eastAsia="Times New Roman"/>
        </w:rPr>
        <w:t xml:space="preserve"> один индустриальный партнер – IPR MEDIA – разработчик IT-решений для цифровых университетов и цифровой экономики: электронные библиотеки, установленные в большинстве российских вузов, платформы для системы профессионального образования и обучения иностранных студентов.</w:t>
      </w:r>
    </w:p>
    <w:p w14:paraId="607ABC5D" w14:textId="17F4998C" w:rsidR="00195266" w:rsidRDefault="00195266" w:rsidP="00195266">
      <w:pPr>
        <w:spacing w:after="0" w:line="240" w:lineRule="auto"/>
        <w:ind w:firstLine="708"/>
        <w:jc w:val="both"/>
        <w:rPr>
          <w:rFonts w:eastAsia="Times New Roman"/>
        </w:rPr>
      </w:pPr>
      <w:r>
        <w:rPr>
          <w:rFonts w:eastAsia="Times New Roman"/>
        </w:rPr>
        <w:t xml:space="preserve"> В Консорциум «Цифровые университеты» на правах одного из участ</w:t>
      </w:r>
      <w:r w:rsidR="00431EC8">
        <w:rPr>
          <w:rFonts w:eastAsia="Times New Roman"/>
        </w:rPr>
        <w:t>ников в качестве научного партнё</w:t>
      </w:r>
      <w:r>
        <w:rPr>
          <w:rFonts w:eastAsia="Times New Roman"/>
        </w:rPr>
        <w:t>ра вошел Университетский консорциум исследователей больших данных, объединяющий 28 вузов.</w:t>
      </w:r>
    </w:p>
    <w:p w14:paraId="5F993398" w14:textId="77777777" w:rsidR="00195266" w:rsidRDefault="00195266" w:rsidP="00195266">
      <w:pPr>
        <w:spacing w:after="0" w:line="240" w:lineRule="auto"/>
        <w:ind w:firstLine="708"/>
        <w:jc w:val="both"/>
        <w:rPr>
          <w:rFonts w:eastAsia="Times New Roman"/>
        </w:rPr>
      </w:pPr>
      <w:r>
        <w:rPr>
          <w:rFonts w:eastAsia="Times New Roman"/>
        </w:rPr>
        <w:t xml:space="preserve">Среди вузов-участников – Вятский государственный университет, Иркутский национальный исследовательский технический университет, Кабардино-Балкарский государственный университет им. Х.М. </w:t>
      </w:r>
      <w:proofErr w:type="spellStart"/>
      <w:r>
        <w:rPr>
          <w:rFonts w:eastAsia="Times New Roman"/>
        </w:rPr>
        <w:t>Бербекова</w:t>
      </w:r>
      <w:proofErr w:type="spellEnd"/>
      <w:r>
        <w:rPr>
          <w:rFonts w:eastAsia="Times New Roman"/>
        </w:rPr>
        <w:t xml:space="preserve">, Костромской государственный университет, Марийский государственный университет, Московский государственный университет технологий и управления им. К.Г. Разумовского (Первый казачий университет), Омский государственный технический университет, Пензенский государственный университет, Самарский государственный аграрный университет, Северо-Восточный федеральный университет имени М.К. </w:t>
      </w:r>
      <w:proofErr w:type="spellStart"/>
      <w:r>
        <w:rPr>
          <w:rFonts w:eastAsia="Times New Roman"/>
        </w:rPr>
        <w:t>Аммосова</w:t>
      </w:r>
      <w:proofErr w:type="spellEnd"/>
      <w:r>
        <w:rPr>
          <w:rFonts w:eastAsia="Times New Roman"/>
        </w:rPr>
        <w:t>, Тихоокеанский государственный университет, Тольяттинский государственный университет, Финансовый университет при Правительстве РФ, Череповецкий государственный университет, Чувашский государственный университет имени И.Н. Ульянова, Югорский государственный университет.</w:t>
      </w:r>
    </w:p>
    <w:p w14:paraId="135D3912" w14:textId="77777777" w:rsidR="00195266" w:rsidRDefault="00195266" w:rsidP="00195266">
      <w:pPr>
        <w:spacing w:after="0" w:line="240" w:lineRule="auto"/>
        <w:ind w:firstLine="708"/>
        <w:jc w:val="both"/>
        <w:rPr>
          <w:rFonts w:eastAsia="Times New Roman"/>
        </w:rPr>
      </w:pPr>
      <w:r>
        <w:rPr>
          <w:rFonts w:eastAsia="Times New Roman"/>
        </w:rPr>
        <w:t>Организацию системы управления Консорциумом и взаимодействие его участников будет обеспечивать Тольяттинский государственный университет.</w:t>
      </w:r>
    </w:p>
    <w:p w14:paraId="7A631BC3" w14:textId="77777777" w:rsidR="00195266" w:rsidRDefault="00195266" w:rsidP="00195266">
      <w:pPr>
        <w:spacing w:after="0" w:line="240" w:lineRule="auto"/>
        <w:ind w:firstLine="708"/>
        <w:jc w:val="both"/>
        <w:rPr>
          <w:rFonts w:eastAsia="Times New Roman"/>
        </w:rPr>
      </w:pPr>
    </w:p>
    <w:p w14:paraId="472CF8D5" w14:textId="77777777" w:rsidR="00195266" w:rsidRDefault="00195266" w:rsidP="00195266">
      <w:pPr>
        <w:spacing w:after="0" w:line="240" w:lineRule="auto"/>
        <w:ind w:firstLine="708"/>
        <w:jc w:val="both"/>
        <w:rPr>
          <w:rFonts w:eastAsia="Times New Roman"/>
          <w:b/>
        </w:rPr>
      </w:pPr>
    </w:p>
    <w:p w14:paraId="3C7F04B5" w14:textId="386CA689" w:rsidR="00195266" w:rsidRDefault="00195266" w:rsidP="00A34229">
      <w:pPr>
        <w:spacing w:after="0" w:line="240" w:lineRule="auto"/>
        <w:ind w:firstLine="708"/>
        <w:jc w:val="both"/>
        <w:rPr>
          <w:rFonts w:eastAsia="Times New Roman"/>
        </w:rPr>
      </w:pPr>
      <w:r>
        <w:rPr>
          <w:rFonts w:eastAsia="Times New Roman"/>
          <w:b/>
        </w:rPr>
        <w:t xml:space="preserve">Михаил </w:t>
      </w:r>
      <w:proofErr w:type="spellStart"/>
      <w:r>
        <w:rPr>
          <w:rFonts w:eastAsia="Times New Roman"/>
          <w:b/>
        </w:rPr>
        <w:t>Криштал</w:t>
      </w:r>
      <w:proofErr w:type="spellEnd"/>
      <w:r>
        <w:rPr>
          <w:rFonts w:eastAsia="Times New Roman"/>
          <w:b/>
        </w:rPr>
        <w:t>,</w:t>
      </w:r>
      <w:r w:rsidR="00A34229">
        <w:rPr>
          <w:rFonts w:eastAsia="Times New Roman"/>
          <w:b/>
        </w:rPr>
        <w:t xml:space="preserve"> </w:t>
      </w:r>
      <w:r>
        <w:rPr>
          <w:rFonts w:eastAsia="Times New Roman"/>
        </w:rPr>
        <w:t>ректор Тольяттинского государственного университета:</w:t>
      </w:r>
    </w:p>
    <w:p w14:paraId="6FE462A7" w14:textId="08D6121B" w:rsidR="00195266" w:rsidRDefault="00195266" w:rsidP="00431EC8">
      <w:pPr>
        <w:spacing w:after="0" w:line="240" w:lineRule="auto"/>
        <w:ind w:firstLine="708"/>
        <w:jc w:val="both"/>
        <w:rPr>
          <w:rFonts w:eastAsia="Times New Roman"/>
        </w:rPr>
      </w:pPr>
      <w:r>
        <w:rPr>
          <w:rFonts w:eastAsia="Times New Roman"/>
        </w:rPr>
        <w:lastRenderedPageBreak/>
        <w:t>–</w:t>
      </w:r>
      <w:r w:rsidRPr="00431EC8">
        <w:rPr>
          <w:rFonts w:eastAsia="Times New Roman"/>
          <w:i/>
        </w:rPr>
        <w:t xml:space="preserve"> Этот Консорциум не о том, как забрать деньги друг у друга (мы даже отказались от членских взносов), а о том, как каждому участнику грамотно вкладывать деньги в цифровизацию своего вуза. Когда каждый университет будет вкладывать ресурсы в собственную цифровизацию по согласованным с другими участниками правилам, мы все получим синергетический эффект: повысим конкурентоспособность и каждого участника Консорциума, и всей российской вузовской системы на международном рынке образования. В этом вопросе мы находимся на </w:t>
      </w:r>
      <w:proofErr w:type="spellStart"/>
      <w:r w:rsidRPr="00431EC8">
        <w:rPr>
          <w:rFonts w:eastAsia="Times New Roman"/>
          <w:i/>
        </w:rPr>
        <w:t>фронтире</w:t>
      </w:r>
      <w:proofErr w:type="spellEnd"/>
      <w:r w:rsidRPr="00431EC8">
        <w:rPr>
          <w:rFonts w:eastAsia="Times New Roman"/>
          <w:i/>
        </w:rPr>
        <w:t xml:space="preserve"> мировой повестки, поскольку панде</w:t>
      </w:r>
      <w:r w:rsidR="00431EC8">
        <w:rPr>
          <w:rFonts w:eastAsia="Times New Roman"/>
          <w:i/>
        </w:rPr>
        <w:t>мия показала, что эти задачи ещё</w:t>
      </w:r>
      <w:r w:rsidRPr="00431EC8">
        <w:rPr>
          <w:rFonts w:eastAsia="Times New Roman"/>
          <w:i/>
        </w:rPr>
        <w:t xml:space="preserve"> не решены практически нигде</w:t>
      </w:r>
      <w:r>
        <w:rPr>
          <w:rFonts w:eastAsia="Times New Roman"/>
        </w:rPr>
        <w:t>.</w:t>
      </w:r>
    </w:p>
    <w:p w14:paraId="27A984C6" w14:textId="77777777" w:rsidR="00195266" w:rsidRDefault="00195266" w:rsidP="00195266">
      <w:pPr>
        <w:spacing w:after="0" w:line="240" w:lineRule="auto"/>
        <w:ind w:firstLine="708"/>
        <w:jc w:val="both"/>
        <w:rPr>
          <w:rFonts w:eastAsia="Times New Roman"/>
        </w:rPr>
      </w:pPr>
    </w:p>
    <w:p w14:paraId="0E0461F8" w14:textId="17815D85" w:rsidR="00195266" w:rsidRDefault="00195266" w:rsidP="00431EC8">
      <w:pPr>
        <w:spacing w:after="0" w:line="240" w:lineRule="auto"/>
        <w:ind w:firstLine="708"/>
        <w:jc w:val="both"/>
        <w:rPr>
          <w:rFonts w:eastAsia="Times New Roman"/>
        </w:rPr>
      </w:pPr>
      <w:r>
        <w:rPr>
          <w:rFonts w:eastAsia="Times New Roman"/>
          <w:b/>
        </w:rPr>
        <w:t>Михаил Мягков,</w:t>
      </w:r>
      <w:r>
        <w:rPr>
          <w:rFonts w:eastAsia="Times New Roman"/>
        </w:rPr>
        <w:t xml:space="preserve"> председатель совета Консорциума исследователей больших данных, научный руководитель Центра прикладного анализа больших данных Томского госуниверситета, профессор университета штата Орегон (США):</w:t>
      </w:r>
    </w:p>
    <w:p w14:paraId="592F1BEB" w14:textId="77777777" w:rsidR="00195266" w:rsidRPr="00431EC8" w:rsidRDefault="00195266" w:rsidP="00431EC8">
      <w:pPr>
        <w:spacing w:after="0" w:line="240" w:lineRule="auto"/>
        <w:ind w:firstLine="708"/>
        <w:jc w:val="both"/>
        <w:rPr>
          <w:rFonts w:eastAsia="Times New Roman"/>
          <w:i/>
        </w:rPr>
      </w:pPr>
      <w:r w:rsidRPr="00431EC8">
        <w:rPr>
          <w:rFonts w:eastAsia="Times New Roman"/>
          <w:i/>
        </w:rPr>
        <w:t>– Консорциум «Цифровые университеты» – про цифровизацию, а большие данные являются фундаментом любого процесса цифровизации. Наш консорциум разрабатывает технологии, системы сбора, анализа и хранения больших данных, которые служат основой для любых задач, связанных с искусственным интеллектом, машинным обучением, принятием решений на основании данных, а это всё – составная часть любого процесса цифровизации.</w:t>
      </w:r>
    </w:p>
    <w:p w14:paraId="7F4EE261" w14:textId="77777777" w:rsidR="00195266" w:rsidRDefault="00195266" w:rsidP="00195266">
      <w:pPr>
        <w:spacing w:after="0" w:line="240" w:lineRule="auto"/>
        <w:ind w:firstLine="708"/>
        <w:jc w:val="both"/>
        <w:rPr>
          <w:rFonts w:eastAsia="Times New Roman"/>
          <w:b/>
        </w:rPr>
      </w:pPr>
    </w:p>
    <w:p w14:paraId="5A8E742D" w14:textId="299EC6FE" w:rsidR="00195266" w:rsidRDefault="00195266" w:rsidP="00431EC8">
      <w:pPr>
        <w:spacing w:after="0" w:line="240" w:lineRule="auto"/>
        <w:ind w:firstLine="708"/>
        <w:jc w:val="both"/>
        <w:rPr>
          <w:rFonts w:eastAsia="Times New Roman"/>
          <w:b/>
        </w:rPr>
      </w:pPr>
      <w:r>
        <w:rPr>
          <w:rFonts w:eastAsia="Times New Roman"/>
          <w:b/>
        </w:rPr>
        <w:t>Алексей Аносов,</w:t>
      </w:r>
      <w:r w:rsidR="00431EC8">
        <w:rPr>
          <w:rFonts w:eastAsia="Times New Roman"/>
          <w:b/>
        </w:rPr>
        <w:t xml:space="preserve"> </w:t>
      </w:r>
      <w:r>
        <w:rPr>
          <w:rFonts w:eastAsia="Times New Roman"/>
        </w:rPr>
        <w:t>проректор по цифровизации Финансового университета при Правительстве РФ:</w:t>
      </w:r>
    </w:p>
    <w:p w14:paraId="260BC268" w14:textId="77777777" w:rsidR="00195266" w:rsidRPr="00431EC8" w:rsidRDefault="00195266" w:rsidP="00431EC8">
      <w:pPr>
        <w:spacing w:after="0" w:line="240" w:lineRule="auto"/>
        <w:ind w:firstLine="708"/>
        <w:jc w:val="both"/>
        <w:rPr>
          <w:rFonts w:eastAsia="Times New Roman"/>
          <w:i/>
        </w:rPr>
      </w:pPr>
      <w:r w:rsidRPr="00431EC8">
        <w:rPr>
          <w:rFonts w:eastAsia="Times New Roman"/>
          <w:i/>
        </w:rPr>
        <w:t>– Вузовские цифровые технологии давно нуждаются в стандартизации подходов к их реализации, что позволит повысить их эффективность и снизить затраты.</w:t>
      </w:r>
    </w:p>
    <w:p w14:paraId="2C2DE460" w14:textId="77777777" w:rsidR="00195266" w:rsidRDefault="00195266" w:rsidP="00195266">
      <w:pPr>
        <w:spacing w:after="0" w:line="240" w:lineRule="auto"/>
        <w:jc w:val="both"/>
        <w:rPr>
          <w:rFonts w:eastAsia="Times New Roman"/>
        </w:rPr>
      </w:pPr>
    </w:p>
    <w:p w14:paraId="2CBB695E" w14:textId="5FF1E4A8" w:rsidR="00195266" w:rsidRDefault="00195266" w:rsidP="00431EC8">
      <w:pPr>
        <w:spacing w:after="0" w:line="240" w:lineRule="auto"/>
        <w:ind w:firstLine="708"/>
        <w:jc w:val="both"/>
        <w:rPr>
          <w:rFonts w:eastAsia="Times New Roman"/>
        </w:rPr>
      </w:pPr>
      <w:r>
        <w:rPr>
          <w:rFonts w:eastAsia="Times New Roman"/>
          <w:b/>
        </w:rPr>
        <w:t>Андрей Иваницкий</w:t>
      </w:r>
      <w:r w:rsidR="00431EC8">
        <w:rPr>
          <w:rFonts w:eastAsia="Times New Roman"/>
          <w:b/>
        </w:rPr>
        <w:t xml:space="preserve">, </w:t>
      </w:r>
      <w:r>
        <w:rPr>
          <w:rFonts w:eastAsia="Times New Roman"/>
        </w:rPr>
        <w:t>генеральный директор ООО «ТАНДЕМ ИНФОРМАЦИОННЫЕ СИСТЕМЫ»:</w:t>
      </w:r>
    </w:p>
    <w:p w14:paraId="2CC61597" w14:textId="77777777" w:rsidR="00195266" w:rsidRPr="00431EC8" w:rsidRDefault="00195266" w:rsidP="00431EC8">
      <w:pPr>
        <w:pBdr>
          <w:top w:val="nil"/>
          <w:left w:val="nil"/>
          <w:bottom w:val="nil"/>
          <w:right w:val="nil"/>
          <w:between w:val="nil"/>
        </w:pBdr>
        <w:spacing w:after="0" w:line="240" w:lineRule="auto"/>
        <w:ind w:firstLine="708"/>
        <w:jc w:val="both"/>
        <w:rPr>
          <w:rFonts w:eastAsia="Times New Roman"/>
          <w:i/>
        </w:rPr>
      </w:pPr>
      <w:r w:rsidRPr="00431EC8">
        <w:rPr>
          <w:rFonts w:eastAsia="Times New Roman"/>
          <w:i/>
        </w:rPr>
        <w:t>– Наше программное обеспечение используют более 150 университетов и колледжей по всей стране, и задачи автоматизации у них во многом схожи. Как правило, в вузах стоит от пяти до десяти различных программных продуктов различных производителей, решающих задачи автоматизации разных процессов: приёмка, учебный блок, наука, бухгалтерия, кадры и т. д. При этом в настоящее время каждый университет самостоятельно решает проблемы со стыковкой этих разных продуктов между собой, тратит силы, ресурсы и деньги на проектирование и реализацию такого обмена. Появление стандартов позволит всем производителям программного обеспечения заранее подготовить возможности для такого обмена, а вуз сможет как из кубиков «</w:t>
      </w:r>
      <w:proofErr w:type="spellStart"/>
      <w:r w:rsidRPr="00431EC8">
        <w:rPr>
          <w:rFonts w:eastAsia="Times New Roman"/>
          <w:i/>
        </w:rPr>
        <w:t>Лего</w:t>
      </w:r>
      <w:proofErr w:type="spellEnd"/>
      <w:r w:rsidRPr="00431EC8">
        <w:rPr>
          <w:rFonts w:eastAsia="Times New Roman"/>
          <w:i/>
        </w:rPr>
        <w:t>» собирать себе единую информационную систему из тех продуктов, которые каждому конкретному вузу больше нравятся. Для нас как для производителей это возможность более честной конкуренции. Те производители, чьи продукты лучше, от появления стандартов только выиграют, а вузы смогут уменьшить зависимость от ранее выбранных продуктов.</w:t>
      </w:r>
    </w:p>
    <w:p w14:paraId="4636FE8C" w14:textId="77777777" w:rsidR="00195266" w:rsidRDefault="00195266" w:rsidP="00195266">
      <w:pPr>
        <w:pBdr>
          <w:top w:val="nil"/>
          <w:left w:val="nil"/>
          <w:bottom w:val="nil"/>
          <w:right w:val="nil"/>
          <w:between w:val="nil"/>
        </w:pBdr>
        <w:spacing w:after="0" w:line="240" w:lineRule="auto"/>
        <w:jc w:val="both"/>
        <w:rPr>
          <w:rFonts w:eastAsia="Times New Roman"/>
        </w:rPr>
      </w:pPr>
    </w:p>
    <w:p w14:paraId="395ACE2A" w14:textId="240E2415" w:rsidR="00195266" w:rsidRDefault="00195266" w:rsidP="00431EC8">
      <w:pPr>
        <w:pBdr>
          <w:top w:val="nil"/>
          <w:left w:val="nil"/>
          <w:bottom w:val="nil"/>
          <w:right w:val="nil"/>
          <w:between w:val="nil"/>
        </w:pBdr>
        <w:spacing w:after="0" w:line="240" w:lineRule="auto"/>
        <w:ind w:firstLine="708"/>
        <w:jc w:val="both"/>
        <w:rPr>
          <w:rFonts w:eastAsia="Times New Roman"/>
        </w:rPr>
      </w:pPr>
      <w:r>
        <w:rPr>
          <w:rFonts w:eastAsia="Times New Roman"/>
          <w:b/>
        </w:rPr>
        <w:t xml:space="preserve">Александр </w:t>
      </w:r>
      <w:proofErr w:type="spellStart"/>
      <w:r>
        <w:rPr>
          <w:rFonts w:eastAsia="Times New Roman"/>
          <w:b/>
        </w:rPr>
        <w:t>Буданцев</w:t>
      </w:r>
      <w:proofErr w:type="spellEnd"/>
      <w:r>
        <w:rPr>
          <w:rFonts w:eastAsia="Times New Roman"/>
          <w:b/>
        </w:rPr>
        <w:t>,</w:t>
      </w:r>
      <w:r w:rsidR="00431EC8">
        <w:rPr>
          <w:rFonts w:eastAsia="Times New Roman"/>
          <w:b/>
        </w:rPr>
        <w:t xml:space="preserve"> </w:t>
      </w:r>
      <w:r>
        <w:rPr>
          <w:rFonts w:eastAsia="Times New Roman"/>
        </w:rPr>
        <w:t>директор Департамента цифровой трансформации и мониторинга Московского государственного университета технологий и управления имени К.Г. Разумовского (Первый казачий университет):</w:t>
      </w:r>
    </w:p>
    <w:p w14:paraId="6BA3F733" w14:textId="77777777" w:rsidR="00195266" w:rsidRPr="00431EC8" w:rsidRDefault="00195266" w:rsidP="00431EC8">
      <w:pPr>
        <w:pBdr>
          <w:top w:val="nil"/>
          <w:left w:val="nil"/>
          <w:bottom w:val="nil"/>
          <w:right w:val="nil"/>
          <w:between w:val="nil"/>
        </w:pBdr>
        <w:spacing w:after="0" w:line="240" w:lineRule="auto"/>
        <w:ind w:firstLine="708"/>
        <w:jc w:val="both"/>
        <w:rPr>
          <w:rFonts w:eastAsia="Times New Roman"/>
          <w:i/>
        </w:rPr>
      </w:pPr>
      <w:r w:rsidRPr="00431EC8">
        <w:rPr>
          <w:rFonts w:eastAsia="Times New Roman"/>
          <w:i/>
        </w:rPr>
        <w:t>– Отдельно взятому вузу самостоятельно сделать «с нуля» программный продукт, который бы подходил всем другим вузам, – очень дорого, долго и требует наличия своей команды разработчиков, а воспользоваться готовыми IT-решениями вузам, как правило, затруднительно, потому что это большие затраты не только на приобретение, но и на внедрение. Чтобы найти выход из этой ситуации, мы вошли в Консорциум. Нужно разработать и утвердить правила взаимодействия по обмену разработками между собой. Консорциум – это возможность согласовать свои действия, чтобы консолидировано решать более сложные задачи.</w:t>
      </w:r>
    </w:p>
    <w:p w14:paraId="0C4F467B" w14:textId="77777777" w:rsidR="00195266" w:rsidRDefault="00195266" w:rsidP="00195266">
      <w:pPr>
        <w:spacing w:after="0" w:line="240" w:lineRule="auto"/>
        <w:jc w:val="both"/>
        <w:rPr>
          <w:rFonts w:eastAsia="Times New Roman"/>
          <w:b/>
        </w:rPr>
      </w:pPr>
    </w:p>
    <w:p w14:paraId="02AD204A" w14:textId="66BF6A95" w:rsidR="00195266" w:rsidRDefault="00195266" w:rsidP="00431EC8">
      <w:pPr>
        <w:spacing w:after="0" w:line="240" w:lineRule="auto"/>
        <w:ind w:firstLine="708"/>
        <w:jc w:val="both"/>
        <w:rPr>
          <w:rFonts w:eastAsia="Times New Roman"/>
        </w:rPr>
      </w:pPr>
      <w:r>
        <w:rPr>
          <w:rFonts w:eastAsia="Times New Roman"/>
          <w:b/>
        </w:rPr>
        <w:lastRenderedPageBreak/>
        <w:t>Евгений Бирюков</w:t>
      </w:r>
      <w:r>
        <w:rPr>
          <w:rFonts w:eastAsia="Times New Roman"/>
        </w:rPr>
        <w:t>,</w:t>
      </w:r>
      <w:r w:rsidR="00431EC8">
        <w:rPr>
          <w:rFonts w:eastAsia="Times New Roman"/>
        </w:rPr>
        <w:t xml:space="preserve"> </w:t>
      </w:r>
      <w:r>
        <w:rPr>
          <w:rFonts w:eastAsia="Times New Roman"/>
        </w:rPr>
        <w:t>начальник Управления информационных технологий Череповецкого государственного университета:</w:t>
      </w:r>
    </w:p>
    <w:p w14:paraId="46BC71B4" w14:textId="77777777" w:rsidR="00195266" w:rsidRPr="00431EC8" w:rsidRDefault="00195266" w:rsidP="00431EC8">
      <w:pPr>
        <w:spacing w:after="0" w:line="240" w:lineRule="auto"/>
        <w:ind w:firstLine="708"/>
        <w:jc w:val="both"/>
        <w:rPr>
          <w:rFonts w:eastAsia="Times New Roman"/>
          <w:i/>
        </w:rPr>
      </w:pPr>
      <w:r w:rsidRPr="00431EC8">
        <w:rPr>
          <w:rFonts w:eastAsia="Times New Roman"/>
          <w:i/>
        </w:rPr>
        <w:t>– Проблема унификации процессов и данных в вузах назрела. Мы тратим много сил и средств на поддержку и развитие своих индивидуальных решений, зачастую повторяя чужую работу, забиваем кучу информации вручную во внешние системы, опять же теряя на этом много времени. И даже осознавая это, продолжаем жить каждый в индивидуальном цифровом мире, существующем по собственным законам и правилам. Участвуя в Консорциуме «Цифровые университеты», мы надеемся не только на развитие практик применения цифровых сервисов и решений для построения цифровой архитектуры, но и на трансформацию цифрового пространства всего вуза в соответствии с разрабатываемыми общими стандартами.</w:t>
      </w:r>
    </w:p>
    <w:p w14:paraId="4662D06C" w14:textId="77777777" w:rsidR="00195266" w:rsidRDefault="00195266" w:rsidP="00195266">
      <w:pPr>
        <w:spacing w:after="0" w:line="240" w:lineRule="auto"/>
        <w:ind w:firstLine="708"/>
        <w:jc w:val="both"/>
        <w:rPr>
          <w:rFonts w:eastAsia="Times New Roman"/>
          <w:b/>
        </w:rPr>
      </w:pPr>
    </w:p>
    <w:p w14:paraId="2B705B91" w14:textId="43CEC7C8" w:rsidR="00195266" w:rsidRDefault="00195266" w:rsidP="00431EC8">
      <w:pPr>
        <w:spacing w:after="0" w:line="240" w:lineRule="auto"/>
        <w:ind w:firstLine="708"/>
        <w:jc w:val="both"/>
        <w:rPr>
          <w:rFonts w:eastAsia="Times New Roman"/>
        </w:rPr>
      </w:pPr>
      <w:r>
        <w:rPr>
          <w:rFonts w:eastAsia="Times New Roman"/>
          <w:b/>
        </w:rPr>
        <w:t>Николай Сорокин</w:t>
      </w:r>
      <w:r>
        <w:rPr>
          <w:rFonts w:eastAsia="Times New Roman"/>
        </w:rPr>
        <w:t>,</w:t>
      </w:r>
      <w:r w:rsidR="00431EC8">
        <w:rPr>
          <w:rFonts w:eastAsia="Times New Roman"/>
        </w:rPr>
        <w:t xml:space="preserve"> </w:t>
      </w:r>
      <w:r>
        <w:rPr>
          <w:rFonts w:eastAsia="Times New Roman"/>
        </w:rPr>
        <w:t>проректор Тихоокеанского государственного университета (ТОГУ):</w:t>
      </w:r>
    </w:p>
    <w:p w14:paraId="10759668" w14:textId="00267667" w:rsidR="00195266" w:rsidRPr="00431EC8" w:rsidRDefault="00195266" w:rsidP="00431EC8">
      <w:pPr>
        <w:spacing w:after="0" w:line="240" w:lineRule="auto"/>
        <w:ind w:firstLine="708"/>
        <w:jc w:val="both"/>
        <w:rPr>
          <w:rFonts w:eastAsia="Times New Roman"/>
          <w:i/>
        </w:rPr>
      </w:pPr>
      <w:r w:rsidRPr="00431EC8">
        <w:rPr>
          <w:rFonts w:eastAsia="Times New Roman"/>
          <w:i/>
        </w:rPr>
        <w:t>– У ТОГУ уже накоплен огромный опыт цифровизации образовательной, управленческой, научной деятельности. Мы пытаемся заглянуть впер</w:t>
      </w:r>
      <w:r w:rsidR="00BA426F">
        <w:rPr>
          <w:rFonts w:eastAsia="Times New Roman"/>
          <w:i/>
        </w:rPr>
        <w:t>ё</w:t>
      </w:r>
      <w:r w:rsidRPr="00431EC8">
        <w:rPr>
          <w:rFonts w:eastAsia="Times New Roman"/>
          <w:i/>
        </w:rPr>
        <w:t xml:space="preserve">д на 10–15 лет для того, чтобы построить эффективную систему цифрового управления нашим университетом. Участие нашего вуза в Консорциуме позволит нам в диалоге определить свою дальнейшую стратегию трансформации, познакомиться с наработками ведущих университетов и </w:t>
      </w:r>
      <w:proofErr w:type="spellStart"/>
      <w:r w:rsidRPr="00431EC8">
        <w:rPr>
          <w:rFonts w:eastAsia="Times New Roman"/>
          <w:i/>
        </w:rPr>
        <w:t>вендоров</w:t>
      </w:r>
      <w:proofErr w:type="spellEnd"/>
      <w:r w:rsidRPr="00431EC8">
        <w:rPr>
          <w:rFonts w:eastAsia="Times New Roman"/>
          <w:i/>
        </w:rPr>
        <w:t xml:space="preserve"> IT-решений по управлению университетом, развить новые научные направления, связанные с </w:t>
      </w:r>
      <w:proofErr w:type="spellStart"/>
      <w:r w:rsidRPr="00431EC8">
        <w:rPr>
          <w:rFonts w:eastAsia="Times New Roman"/>
          <w:i/>
        </w:rPr>
        <w:t>цифровизацией</w:t>
      </w:r>
      <w:proofErr w:type="spellEnd"/>
      <w:r w:rsidRPr="00431EC8">
        <w:rPr>
          <w:rFonts w:eastAsia="Times New Roman"/>
          <w:i/>
        </w:rPr>
        <w:t>.</w:t>
      </w:r>
    </w:p>
    <w:p w14:paraId="0A17C743" w14:textId="77777777" w:rsidR="00195266" w:rsidRDefault="00195266" w:rsidP="00195266">
      <w:pPr>
        <w:spacing w:after="0" w:line="240" w:lineRule="auto"/>
        <w:ind w:firstLine="708"/>
        <w:jc w:val="both"/>
        <w:rPr>
          <w:rFonts w:eastAsia="Times New Roman"/>
        </w:rPr>
      </w:pPr>
    </w:p>
    <w:p w14:paraId="4D4400A6" w14:textId="77777777" w:rsidR="00195266" w:rsidRDefault="00195266" w:rsidP="00195266">
      <w:pPr>
        <w:spacing w:after="0" w:line="240" w:lineRule="auto"/>
        <w:ind w:firstLine="708"/>
        <w:jc w:val="both"/>
        <w:rPr>
          <w:rFonts w:eastAsia="Times New Roman"/>
          <w:b/>
        </w:rPr>
      </w:pPr>
      <w:r>
        <w:rPr>
          <w:rFonts w:eastAsia="Times New Roman"/>
          <w:b/>
        </w:rPr>
        <w:t>Список участников Консорциума «Цифровые университеты»</w:t>
      </w:r>
    </w:p>
    <w:p w14:paraId="44D9B9B2" w14:textId="0D862E3F" w:rsidR="00195266" w:rsidRDefault="00431EC8" w:rsidP="00195266">
      <w:pPr>
        <w:spacing w:after="0" w:line="240" w:lineRule="auto"/>
        <w:ind w:firstLine="708"/>
        <w:jc w:val="both"/>
        <w:rPr>
          <w:rFonts w:eastAsia="Times New Roman"/>
          <w:b/>
        </w:rPr>
      </w:pPr>
      <w:r>
        <w:rPr>
          <w:rFonts w:eastAsia="Times New Roman"/>
          <w:b/>
        </w:rPr>
        <w:t>Индустриальные партнё</w:t>
      </w:r>
      <w:r w:rsidR="00195266">
        <w:rPr>
          <w:rFonts w:eastAsia="Times New Roman"/>
          <w:b/>
        </w:rPr>
        <w:t>ры</w:t>
      </w:r>
    </w:p>
    <w:p w14:paraId="6FB5AFE3" w14:textId="77777777" w:rsidR="00195266" w:rsidRDefault="00195266" w:rsidP="00195266">
      <w:pPr>
        <w:spacing w:after="0" w:line="240" w:lineRule="auto"/>
        <w:ind w:firstLine="708"/>
        <w:jc w:val="both"/>
        <w:rPr>
          <w:rFonts w:eastAsia="Times New Roman"/>
        </w:rPr>
      </w:pPr>
      <w:r>
        <w:rPr>
          <w:rFonts w:eastAsia="Times New Roman"/>
        </w:rPr>
        <w:t>– ООО «</w:t>
      </w:r>
      <w:proofErr w:type="spellStart"/>
      <w:r>
        <w:rPr>
          <w:rFonts w:eastAsia="Times New Roman"/>
        </w:rPr>
        <w:t>Альтарикс</w:t>
      </w:r>
      <w:proofErr w:type="spellEnd"/>
      <w:r>
        <w:rPr>
          <w:rFonts w:eastAsia="Times New Roman"/>
        </w:rPr>
        <w:t>»</w:t>
      </w:r>
    </w:p>
    <w:p w14:paraId="28298995" w14:textId="77777777" w:rsidR="00195266" w:rsidRDefault="00195266" w:rsidP="00195266">
      <w:pPr>
        <w:spacing w:after="0" w:line="240" w:lineRule="auto"/>
        <w:ind w:firstLine="708"/>
        <w:jc w:val="both"/>
        <w:rPr>
          <w:rFonts w:eastAsia="Times New Roman"/>
        </w:rPr>
      </w:pPr>
      <w:r>
        <w:rPr>
          <w:rFonts w:eastAsia="Times New Roman"/>
        </w:rPr>
        <w:t>– ООО «Галактика ИТ»</w:t>
      </w:r>
    </w:p>
    <w:p w14:paraId="5C8FE52E" w14:textId="77777777" w:rsidR="00195266" w:rsidRDefault="00195266" w:rsidP="00195266">
      <w:pPr>
        <w:spacing w:after="0" w:line="240" w:lineRule="auto"/>
        <w:ind w:firstLine="708"/>
        <w:jc w:val="both"/>
        <w:rPr>
          <w:rFonts w:eastAsia="Times New Roman"/>
        </w:rPr>
      </w:pPr>
      <w:r>
        <w:rPr>
          <w:rFonts w:eastAsia="Times New Roman"/>
        </w:rPr>
        <w:t>– ООО «Компания Ай Пи Ар Медиа»</w:t>
      </w:r>
    </w:p>
    <w:p w14:paraId="1757FD90" w14:textId="77777777" w:rsidR="00195266" w:rsidRDefault="00195266" w:rsidP="00195266">
      <w:pPr>
        <w:spacing w:after="0" w:line="240" w:lineRule="auto"/>
        <w:ind w:firstLine="708"/>
        <w:jc w:val="both"/>
        <w:rPr>
          <w:rFonts w:eastAsia="Times New Roman"/>
        </w:rPr>
      </w:pPr>
      <w:r>
        <w:rPr>
          <w:rFonts w:eastAsia="Times New Roman"/>
        </w:rPr>
        <w:t>– ООО «Лаборатория Математического моделирования и информационных систем»</w:t>
      </w:r>
    </w:p>
    <w:p w14:paraId="25A74DB6" w14:textId="77777777" w:rsidR="00195266" w:rsidRDefault="00195266" w:rsidP="00195266">
      <w:pPr>
        <w:spacing w:after="0" w:line="240" w:lineRule="auto"/>
        <w:ind w:firstLine="708"/>
        <w:jc w:val="both"/>
        <w:rPr>
          <w:rFonts w:eastAsia="Times New Roman"/>
        </w:rPr>
      </w:pPr>
      <w:r>
        <w:rPr>
          <w:rFonts w:eastAsia="Times New Roman"/>
        </w:rPr>
        <w:t>– ООО «Системы управления бизнесом»</w:t>
      </w:r>
    </w:p>
    <w:p w14:paraId="1E5D1523" w14:textId="77777777" w:rsidR="00195266" w:rsidRDefault="00195266" w:rsidP="00195266">
      <w:pPr>
        <w:spacing w:after="0" w:line="240" w:lineRule="auto"/>
        <w:ind w:firstLine="708"/>
        <w:jc w:val="both"/>
        <w:rPr>
          <w:rFonts w:eastAsia="Times New Roman"/>
        </w:rPr>
      </w:pPr>
      <w:r>
        <w:rPr>
          <w:rFonts w:eastAsia="Times New Roman"/>
        </w:rPr>
        <w:t>– ООО «ТАНДЕМ ИC»</w:t>
      </w:r>
    </w:p>
    <w:p w14:paraId="7400A745" w14:textId="77777777" w:rsidR="00195266" w:rsidRDefault="00195266" w:rsidP="00195266">
      <w:pPr>
        <w:spacing w:after="0" w:line="240" w:lineRule="auto"/>
        <w:ind w:firstLine="708"/>
        <w:jc w:val="both"/>
        <w:rPr>
          <w:rFonts w:eastAsia="Times New Roman"/>
        </w:rPr>
      </w:pPr>
    </w:p>
    <w:p w14:paraId="581DEDD0" w14:textId="11061938" w:rsidR="00195266" w:rsidRDefault="00A34229" w:rsidP="00195266">
      <w:pPr>
        <w:spacing w:after="0" w:line="240" w:lineRule="auto"/>
        <w:ind w:firstLine="708"/>
        <w:jc w:val="both"/>
        <w:rPr>
          <w:rFonts w:eastAsia="Times New Roman"/>
          <w:b/>
        </w:rPr>
      </w:pPr>
      <w:r>
        <w:rPr>
          <w:rFonts w:eastAsia="Times New Roman"/>
          <w:b/>
        </w:rPr>
        <w:t>Научный партнё</w:t>
      </w:r>
      <w:r w:rsidR="00195266">
        <w:rPr>
          <w:rFonts w:eastAsia="Times New Roman"/>
          <w:b/>
        </w:rPr>
        <w:t>р</w:t>
      </w:r>
    </w:p>
    <w:p w14:paraId="0F392633" w14:textId="77777777" w:rsidR="00195266" w:rsidRDefault="00195266" w:rsidP="00195266">
      <w:pPr>
        <w:spacing w:after="0" w:line="240" w:lineRule="auto"/>
        <w:ind w:firstLine="708"/>
        <w:jc w:val="both"/>
        <w:rPr>
          <w:rFonts w:eastAsia="Times New Roman"/>
        </w:rPr>
      </w:pPr>
      <w:r>
        <w:rPr>
          <w:rFonts w:eastAsia="Times New Roman"/>
        </w:rPr>
        <w:t>– Университетский консорциум исследователей больших данных</w:t>
      </w:r>
    </w:p>
    <w:p w14:paraId="1E7B19A4" w14:textId="77777777" w:rsidR="00195266" w:rsidRDefault="00195266" w:rsidP="00195266">
      <w:pPr>
        <w:spacing w:after="0" w:line="240" w:lineRule="auto"/>
        <w:ind w:firstLine="708"/>
        <w:jc w:val="both"/>
        <w:rPr>
          <w:rFonts w:eastAsia="Times New Roman"/>
          <w:b/>
        </w:rPr>
      </w:pPr>
    </w:p>
    <w:p w14:paraId="73937B5F" w14:textId="77777777" w:rsidR="00195266" w:rsidRDefault="00195266" w:rsidP="00195266">
      <w:pPr>
        <w:spacing w:after="0" w:line="240" w:lineRule="auto"/>
        <w:ind w:firstLine="708"/>
        <w:jc w:val="both"/>
        <w:rPr>
          <w:rFonts w:eastAsia="Times New Roman"/>
          <w:b/>
        </w:rPr>
      </w:pPr>
      <w:r>
        <w:rPr>
          <w:rFonts w:eastAsia="Times New Roman"/>
          <w:b/>
        </w:rPr>
        <w:t xml:space="preserve">Вузы-участники </w:t>
      </w:r>
    </w:p>
    <w:p w14:paraId="7BF0E0B2" w14:textId="77777777" w:rsidR="00195266" w:rsidRDefault="00195266" w:rsidP="00195266">
      <w:pPr>
        <w:spacing w:after="0" w:line="240" w:lineRule="auto"/>
        <w:ind w:firstLine="708"/>
        <w:jc w:val="both"/>
        <w:rPr>
          <w:rFonts w:eastAsia="Times New Roman"/>
        </w:rPr>
      </w:pPr>
      <w:r>
        <w:rPr>
          <w:rFonts w:eastAsia="Times New Roman"/>
        </w:rPr>
        <w:t>– Вятский государственный университет (опорный)</w:t>
      </w:r>
    </w:p>
    <w:p w14:paraId="62E91029" w14:textId="77777777" w:rsidR="00195266" w:rsidRDefault="00195266" w:rsidP="00195266">
      <w:pPr>
        <w:spacing w:after="0" w:line="240" w:lineRule="auto"/>
        <w:ind w:firstLine="708"/>
        <w:jc w:val="both"/>
        <w:rPr>
          <w:rFonts w:eastAsia="Times New Roman"/>
        </w:rPr>
      </w:pPr>
      <w:r>
        <w:rPr>
          <w:rFonts w:eastAsia="Times New Roman"/>
        </w:rPr>
        <w:t>– Иркутский национальный исследовательский технический университет (НИУ)</w:t>
      </w:r>
    </w:p>
    <w:p w14:paraId="221DECB5" w14:textId="77777777" w:rsidR="00195266" w:rsidRDefault="00195266" w:rsidP="00195266">
      <w:pPr>
        <w:spacing w:after="0" w:line="240" w:lineRule="auto"/>
        <w:ind w:firstLine="708"/>
        <w:jc w:val="both"/>
        <w:rPr>
          <w:rFonts w:eastAsia="Times New Roman"/>
        </w:rPr>
      </w:pPr>
      <w:r>
        <w:rPr>
          <w:rFonts w:eastAsia="Times New Roman"/>
        </w:rPr>
        <w:t xml:space="preserve">– Кабардино-Балкарский государственный университет им. Х.М. </w:t>
      </w:r>
      <w:proofErr w:type="spellStart"/>
      <w:r>
        <w:rPr>
          <w:rFonts w:eastAsia="Times New Roman"/>
        </w:rPr>
        <w:t>Бербекова</w:t>
      </w:r>
      <w:proofErr w:type="spellEnd"/>
    </w:p>
    <w:p w14:paraId="710EA03C" w14:textId="77777777" w:rsidR="00195266" w:rsidRDefault="00195266" w:rsidP="00195266">
      <w:pPr>
        <w:spacing w:after="0" w:line="240" w:lineRule="auto"/>
        <w:ind w:firstLine="708"/>
        <w:jc w:val="both"/>
        <w:rPr>
          <w:rFonts w:eastAsia="Times New Roman"/>
        </w:rPr>
      </w:pPr>
      <w:r>
        <w:rPr>
          <w:rFonts w:eastAsia="Times New Roman"/>
        </w:rPr>
        <w:t>– Костромской государственный университет (опорный)</w:t>
      </w:r>
    </w:p>
    <w:p w14:paraId="59261EBF" w14:textId="77777777" w:rsidR="00195266" w:rsidRDefault="00195266" w:rsidP="00195266">
      <w:pPr>
        <w:spacing w:after="0" w:line="240" w:lineRule="auto"/>
        <w:ind w:firstLine="708"/>
        <w:jc w:val="both"/>
        <w:rPr>
          <w:rFonts w:eastAsia="Times New Roman"/>
        </w:rPr>
      </w:pPr>
      <w:r>
        <w:rPr>
          <w:rFonts w:eastAsia="Times New Roman"/>
        </w:rPr>
        <w:t>– Марийский государственный университет (опорный)</w:t>
      </w:r>
    </w:p>
    <w:p w14:paraId="26767675" w14:textId="77777777" w:rsidR="00195266" w:rsidRDefault="00195266" w:rsidP="00195266">
      <w:pPr>
        <w:spacing w:after="0" w:line="240" w:lineRule="auto"/>
        <w:ind w:firstLine="708"/>
        <w:jc w:val="both"/>
        <w:rPr>
          <w:rFonts w:eastAsia="Times New Roman"/>
        </w:rPr>
      </w:pPr>
      <w:r>
        <w:rPr>
          <w:rFonts w:eastAsia="Times New Roman"/>
        </w:rPr>
        <w:t>– Московский государственный университет технологий и управления им. К.Г. Разумовского (Первый казачий университет)</w:t>
      </w:r>
    </w:p>
    <w:p w14:paraId="29AB1DA7" w14:textId="77777777" w:rsidR="00195266" w:rsidRDefault="00195266" w:rsidP="00195266">
      <w:pPr>
        <w:spacing w:after="0" w:line="240" w:lineRule="auto"/>
        <w:ind w:firstLine="708"/>
        <w:jc w:val="both"/>
        <w:rPr>
          <w:rFonts w:eastAsia="Times New Roman"/>
        </w:rPr>
      </w:pPr>
      <w:r>
        <w:rPr>
          <w:rFonts w:eastAsia="Times New Roman"/>
        </w:rPr>
        <w:t>– Омский государственный технический университет (опорный)</w:t>
      </w:r>
    </w:p>
    <w:p w14:paraId="249D5D85" w14:textId="77777777" w:rsidR="00195266" w:rsidRDefault="00195266" w:rsidP="00195266">
      <w:pPr>
        <w:spacing w:after="0" w:line="240" w:lineRule="auto"/>
        <w:ind w:firstLine="708"/>
        <w:jc w:val="both"/>
        <w:rPr>
          <w:rFonts w:eastAsia="Times New Roman"/>
        </w:rPr>
      </w:pPr>
      <w:r>
        <w:rPr>
          <w:rFonts w:eastAsia="Times New Roman"/>
        </w:rPr>
        <w:t>– Пензенский государственный университет</w:t>
      </w:r>
    </w:p>
    <w:p w14:paraId="44198697" w14:textId="77777777" w:rsidR="00195266" w:rsidRDefault="00195266" w:rsidP="00195266">
      <w:pPr>
        <w:spacing w:after="0" w:line="240" w:lineRule="auto"/>
        <w:ind w:firstLine="708"/>
        <w:jc w:val="both"/>
        <w:rPr>
          <w:rFonts w:eastAsia="Times New Roman"/>
        </w:rPr>
      </w:pPr>
      <w:r>
        <w:rPr>
          <w:rFonts w:eastAsia="Times New Roman"/>
        </w:rPr>
        <w:t>– Самарский государственный аграрный университет</w:t>
      </w:r>
    </w:p>
    <w:p w14:paraId="224D2F71" w14:textId="4A2854C5" w:rsidR="00195266" w:rsidRDefault="00195266" w:rsidP="00195266">
      <w:pPr>
        <w:spacing w:after="0" w:line="240" w:lineRule="auto"/>
        <w:ind w:firstLine="708"/>
        <w:jc w:val="both"/>
        <w:rPr>
          <w:rFonts w:eastAsia="Times New Roman"/>
        </w:rPr>
      </w:pPr>
      <w:r>
        <w:rPr>
          <w:rFonts w:eastAsia="Times New Roman"/>
        </w:rPr>
        <w:t>– Северо-Восточный федеральный университет имени М.К. Ам</w:t>
      </w:r>
      <w:r w:rsidR="00BF4BCB">
        <w:rPr>
          <w:rFonts w:eastAsia="Times New Roman"/>
        </w:rPr>
        <w:t>м</w:t>
      </w:r>
      <w:bookmarkStart w:id="0" w:name="_GoBack"/>
      <w:bookmarkEnd w:id="0"/>
      <w:r>
        <w:rPr>
          <w:rFonts w:eastAsia="Times New Roman"/>
        </w:rPr>
        <w:t>осова (федеральный)</w:t>
      </w:r>
    </w:p>
    <w:p w14:paraId="0621BAB3" w14:textId="77777777" w:rsidR="00195266" w:rsidRDefault="00195266" w:rsidP="00195266">
      <w:pPr>
        <w:spacing w:after="0" w:line="240" w:lineRule="auto"/>
        <w:ind w:firstLine="708"/>
        <w:jc w:val="both"/>
        <w:rPr>
          <w:rFonts w:eastAsia="Times New Roman"/>
        </w:rPr>
      </w:pPr>
      <w:r>
        <w:rPr>
          <w:rFonts w:eastAsia="Times New Roman"/>
        </w:rPr>
        <w:t>– Тихоокеанский государственный университет</w:t>
      </w:r>
    </w:p>
    <w:p w14:paraId="570424CA" w14:textId="77777777" w:rsidR="00195266" w:rsidRDefault="00195266" w:rsidP="00195266">
      <w:pPr>
        <w:spacing w:after="0" w:line="240" w:lineRule="auto"/>
        <w:ind w:firstLine="708"/>
        <w:jc w:val="both"/>
        <w:rPr>
          <w:rFonts w:eastAsia="Times New Roman"/>
        </w:rPr>
      </w:pPr>
      <w:r>
        <w:rPr>
          <w:rFonts w:eastAsia="Times New Roman"/>
        </w:rPr>
        <w:t>– Тольяттинский государственный университет (опорный)</w:t>
      </w:r>
    </w:p>
    <w:p w14:paraId="55044953" w14:textId="77777777" w:rsidR="00195266" w:rsidRDefault="00195266" w:rsidP="00195266">
      <w:pPr>
        <w:spacing w:after="0" w:line="240" w:lineRule="auto"/>
        <w:ind w:firstLine="708"/>
        <w:jc w:val="both"/>
        <w:rPr>
          <w:rFonts w:eastAsia="Times New Roman"/>
        </w:rPr>
      </w:pPr>
      <w:r>
        <w:rPr>
          <w:rFonts w:eastAsia="Times New Roman"/>
        </w:rPr>
        <w:t>– Финансовый университет при Правительстве РФ</w:t>
      </w:r>
    </w:p>
    <w:p w14:paraId="207DDD3B" w14:textId="77777777" w:rsidR="00195266" w:rsidRDefault="00195266" w:rsidP="00195266">
      <w:pPr>
        <w:spacing w:after="0" w:line="240" w:lineRule="auto"/>
        <w:ind w:firstLine="708"/>
        <w:jc w:val="both"/>
        <w:rPr>
          <w:rFonts w:eastAsia="Times New Roman"/>
        </w:rPr>
      </w:pPr>
      <w:r>
        <w:rPr>
          <w:rFonts w:eastAsia="Times New Roman"/>
        </w:rPr>
        <w:t>– Череповецкий государственный университет (опорный)</w:t>
      </w:r>
    </w:p>
    <w:p w14:paraId="179CDF60" w14:textId="77777777" w:rsidR="00195266" w:rsidRDefault="00195266" w:rsidP="00195266">
      <w:pPr>
        <w:spacing w:after="0" w:line="240" w:lineRule="auto"/>
        <w:ind w:firstLine="708"/>
        <w:jc w:val="both"/>
        <w:rPr>
          <w:rFonts w:eastAsia="Times New Roman"/>
        </w:rPr>
      </w:pPr>
      <w:r>
        <w:rPr>
          <w:rFonts w:eastAsia="Times New Roman"/>
        </w:rPr>
        <w:t>– Чувашский государственный университет имени И.Н. Ульянова</w:t>
      </w:r>
    </w:p>
    <w:p w14:paraId="78322F87" w14:textId="77777777" w:rsidR="00195266" w:rsidRDefault="00195266" w:rsidP="00195266">
      <w:pPr>
        <w:spacing w:after="0" w:line="240" w:lineRule="auto"/>
        <w:ind w:firstLine="708"/>
        <w:jc w:val="both"/>
        <w:rPr>
          <w:rFonts w:eastAsia="Times New Roman"/>
        </w:rPr>
      </w:pPr>
      <w:r>
        <w:rPr>
          <w:rFonts w:eastAsia="Times New Roman"/>
        </w:rPr>
        <w:t>– Югорский государственный университет</w:t>
      </w:r>
    </w:p>
    <w:p w14:paraId="289D77A9" w14:textId="6552660B" w:rsidR="00A91A45" w:rsidRPr="002D4612" w:rsidRDefault="00A91A45" w:rsidP="00DF66D4">
      <w:pPr>
        <w:spacing w:after="0"/>
        <w:ind w:firstLine="708"/>
        <w:jc w:val="both"/>
        <w:rPr>
          <w:color w:val="000000" w:themeColor="text1"/>
        </w:rPr>
      </w:pPr>
    </w:p>
    <w:p w14:paraId="212708ED" w14:textId="125E1884" w:rsidR="00E94848" w:rsidRPr="0090435E" w:rsidRDefault="00E94848" w:rsidP="00E94848">
      <w:pPr>
        <w:spacing w:after="0"/>
        <w:ind w:firstLine="720"/>
        <w:jc w:val="both"/>
      </w:pPr>
    </w:p>
    <w:sectPr w:rsidR="00E94848" w:rsidRPr="0090435E" w:rsidSect="00F3653E">
      <w:pgSz w:w="11906" w:h="16838"/>
      <w:pgMar w:top="993" w:right="850" w:bottom="127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C3272"/>
    <w:multiLevelType w:val="hybridMultilevel"/>
    <w:tmpl w:val="6B6478D0"/>
    <w:lvl w:ilvl="0" w:tplc="26001434">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472069D4"/>
    <w:multiLevelType w:val="hybridMultilevel"/>
    <w:tmpl w:val="F02693DC"/>
    <w:lvl w:ilvl="0" w:tplc="6D8895DE">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D5A"/>
    <w:rsid w:val="000033B5"/>
    <w:rsid w:val="00014622"/>
    <w:rsid w:val="00021875"/>
    <w:rsid w:val="00032CBA"/>
    <w:rsid w:val="00035828"/>
    <w:rsid w:val="0004418F"/>
    <w:rsid w:val="00051530"/>
    <w:rsid w:val="00052196"/>
    <w:rsid w:val="0006397E"/>
    <w:rsid w:val="000667F9"/>
    <w:rsid w:val="00073180"/>
    <w:rsid w:val="000750A3"/>
    <w:rsid w:val="000B004C"/>
    <w:rsid w:val="000B6C12"/>
    <w:rsid w:val="000D07C2"/>
    <w:rsid w:val="000D1060"/>
    <w:rsid w:val="000D6A61"/>
    <w:rsid w:val="000E02C4"/>
    <w:rsid w:val="000E2C66"/>
    <w:rsid w:val="000E4A09"/>
    <w:rsid w:val="000E4BB2"/>
    <w:rsid w:val="000F7BAF"/>
    <w:rsid w:val="00103B35"/>
    <w:rsid w:val="00117CFD"/>
    <w:rsid w:val="00122572"/>
    <w:rsid w:val="00122C9D"/>
    <w:rsid w:val="00131071"/>
    <w:rsid w:val="001435CB"/>
    <w:rsid w:val="00147D6D"/>
    <w:rsid w:val="00156D83"/>
    <w:rsid w:val="00161516"/>
    <w:rsid w:val="0017575A"/>
    <w:rsid w:val="00176CE4"/>
    <w:rsid w:val="00176F27"/>
    <w:rsid w:val="00180330"/>
    <w:rsid w:val="00180638"/>
    <w:rsid w:val="00180B41"/>
    <w:rsid w:val="00193186"/>
    <w:rsid w:val="00195266"/>
    <w:rsid w:val="00195AFC"/>
    <w:rsid w:val="001B631F"/>
    <w:rsid w:val="001B6E26"/>
    <w:rsid w:val="001D3003"/>
    <w:rsid w:val="001D6A51"/>
    <w:rsid w:val="001E031C"/>
    <w:rsid w:val="001F6497"/>
    <w:rsid w:val="00203168"/>
    <w:rsid w:val="00217878"/>
    <w:rsid w:val="0022080C"/>
    <w:rsid w:val="00235967"/>
    <w:rsid w:val="0023615E"/>
    <w:rsid w:val="00236B02"/>
    <w:rsid w:val="002466A7"/>
    <w:rsid w:val="00251CF5"/>
    <w:rsid w:val="0027644F"/>
    <w:rsid w:val="002921D9"/>
    <w:rsid w:val="002A0341"/>
    <w:rsid w:val="002A24DA"/>
    <w:rsid w:val="002A44E3"/>
    <w:rsid w:val="002A4625"/>
    <w:rsid w:val="002B2732"/>
    <w:rsid w:val="002B589F"/>
    <w:rsid w:val="002C75DE"/>
    <w:rsid w:val="002D4993"/>
    <w:rsid w:val="002D6AE1"/>
    <w:rsid w:val="002E7314"/>
    <w:rsid w:val="002F038B"/>
    <w:rsid w:val="002F1285"/>
    <w:rsid w:val="002F427B"/>
    <w:rsid w:val="002F4EC0"/>
    <w:rsid w:val="003073F7"/>
    <w:rsid w:val="003161D0"/>
    <w:rsid w:val="00317869"/>
    <w:rsid w:val="0032495F"/>
    <w:rsid w:val="003279E6"/>
    <w:rsid w:val="00333700"/>
    <w:rsid w:val="003360B6"/>
    <w:rsid w:val="00340FCE"/>
    <w:rsid w:val="0034602C"/>
    <w:rsid w:val="00356453"/>
    <w:rsid w:val="00361D60"/>
    <w:rsid w:val="00370BCD"/>
    <w:rsid w:val="00384635"/>
    <w:rsid w:val="003904FB"/>
    <w:rsid w:val="00390A36"/>
    <w:rsid w:val="0039189B"/>
    <w:rsid w:val="00392889"/>
    <w:rsid w:val="003A01BC"/>
    <w:rsid w:val="003A772E"/>
    <w:rsid w:val="003C6653"/>
    <w:rsid w:val="003C7354"/>
    <w:rsid w:val="003D2746"/>
    <w:rsid w:val="003D7EAB"/>
    <w:rsid w:val="003E003B"/>
    <w:rsid w:val="003E2030"/>
    <w:rsid w:val="003E2514"/>
    <w:rsid w:val="003E4FA4"/>
    <w:rsid w:val="003F0656"/>
    <w:rsid w:val="003F6177"/>
    <w:rsid w:val="003F7519"/>
    <w:rsid w:val="004019D1"/>
    <w:rsid w:val="00401C32"/>
    <w:rsid w:val="004120A4"/>
    <w:rsid w:val="00414C17"/>
    <w:rsid w:val="00417C70"/>
    <w:rsid w:val="00421E52"/>
    <w:rsid w:val="00431EC8"/>
    <w:rsid w:val="00433DF2"/>
    <w:rsid w:val="004353F0"/>
    <w:rsid w:val="004508F9"/>
    <w:rsid w:val="004523E6"/>
    <w:rsid w:val="0045637C"/>
    <w:rsid w:val="00474110"/>
    <w:rsid w:val="0049374E"/>
    <w:rsid w:val="00493B2D"/>
    <w:rsid w:val="00494D20"/>
    <w:rsid w:val="004A10B8"/>
    <w:rsid w:val="004C13BF"/>
    <w:rsid w:val="004C5DC8"/>
    <w:rsid w:val="004C7BC5"/>
    <w:rsid w:val="004D0FC7"/>
    <w:rsid w:val="004D7CBE"/>
    <w:rsid w:val="004F7881"/>
    <w:rsid w:val="00501223"/>
    <w:rsid w:val="0051732F"/>
    <w:rsid w:val="0052371E"/>
    <w:rsid w:val="00524296"/>
    <w:rsid w:val="0053084A"/>
    <w:rsid w:val="00555AB7"/>
    <w:rsid w:val="00555B9A"/>
    <w:rsid w:val="00583BE1"/>
    <w:rsid w:val="00583ED7"/>
    <w:rsid w:val="005913C4"/>
    <w:rsid w:val="00594689"/>
    <w:rsid w:val="005C11BD"/>
    <w:rsid w:val="005C13E9"/>
    <w:rsid w:val="005C7490"/>
    <w:rsid w:val="006018FE"/>
    <w:rsid w:val="006050A3"/>
    <w:rsid w:val="00607541"/>
    <w:rsid w:val="00607F10"/>
    <w:rsid w:val="0061281F"/>
    <w:rsid w:val="00614FA8"/>
    <w:rsid w:val="00620B47"/>
    <w:rsid w:val="0062103C"/>
    <w:rsid w:val="00624DB3"/>
    <w:rsid w:val="00625CCE"/>
    <w:rsid w:val="00626ACB"/>
    <w:rsid w:val="006353E9"/>
    <w:rsid w:val="0065066C"/>
    <w:rsid w:val="006555B9"/>
    <w:rsid w:val="00656C35"/>
    <w:rsid w:val="00661643"/>
    <w:rsid w:val="0066540F"/>
    <w:rsid w:val="006665C5"/>
    <w:rsid w:val="00682778"/>
    <w:rsid w:val="00694022"/>
    <w:rsid w:val="006A41E0"/>
    <w:rsid w:val="006B05B1"/>
    <w:rsid w:val="006C26F1"/>
    <w:rsid w:val="006E2367"/>
    <w:rsid w:val="006E4900"/>
    <w:rsid w:val="006E78B3"/>
    <w:rsid w:val="006F2773"/>
    <w:rsid w:val="0070467A"/>
    <w:rsid w:val="00707F95"/>
    <w:rsid w:val="00710AA1"/>
    <w:rsid w:val="007338B6"/>
    <w:rsid w:val="007354A7"/>
    <w:rsid w:val="007554EF"/>
    <w:rsid w:val="0076006C"/>
    <w:rsid w:val="007737EF"/>
    <w:rsid w:val="0077594F"/>
    <w:rsid w:val="00790703"/>
    <w:rsid w:val="0079196F"/>
    <w:rsid w:val="00796EFE"/>
    <w:rsid w:val="007A478C"/>
    <w:rsid w:val="007A76B0"/>
    <w:rsid w:val="007B4683"/>
    <w:rsid w:val="007B4955"/>
    <w:rsid w:val="007B5151"/>
    <w:rsid w:val="007B7087"/>
    <w:rsid w:val="007C1EBD"/>
    <w:rsid w:val="007C5214"/>
    <w:rsid w:val="007D124C"/>
    <w:rsid w:val="007D57A0"/>
    <w:rsid w:val="007E6644"/>
    <w:rsid w:val="007E6C11"/>
    <w:rsid w:val="007F3F8A"/>
    <w:rsid w:val="00802F98"/>
    <w:rsid w:val="008111CE"/>
    <w:rsid w:val="00812D3D"/>
    <w:rsid w:val="00817179"/>
    <w:rsid w:val="0082132F"/>
    <w:rsid w:val="0082263E"/>
    <w:rsid w:val="008233DE"/>
    <w:rsid w:val="0082364E"/>
    <w:rsid w:val="0082726D"/>
    <w:rsid w:val="008311AB"/>
    <w:rsid w:val="00835C46"/>
    <w:rsid w:val="00837681"/>
    <w:rsid w:val="00845A05"/>
    <w:rsid w:val="008575D2"/>
    <w:rsid w:val="008622B5"/>
    <w:rsid w:val="00871E2C"/>
    <w:rsid w:val="00885276"/>
    <w:rsid w:val="00885D33"/>
    <w:rsid w:val="00885E3D"/>
    <w:rsid w:val="00890C19"/>
    <w:rsid w:val="00891107"/>
    <w:rsid w:val="00894741"/>
    <w:rsid w:val="00895802"/>
    <w:rsid w:val="008A10A5"/>
    <w:rsid w:val="008A2C02"/>
    <w:rsid w:val="008A4BF7"/>
    <w:rsid w:val="008A7A09"/>
    <w:rsid w:val="008B4EFA"/>
    <w:rsid w:val="008B54F6"/>
    <w:rsid w:val="008F24DC"/>
    <w:rsid w:val="0090251F"/>
    <w:rsid w:val="0090435E"/>
    <w:rsid w:val="009069CD"/>
    <w:rsid w:val="0092488D"/>
    <w:rsid w:val="00926FDD"/>
    <w:rsid w:val="00927936"/>
    <w:rsid w:val="00941C07"/>
    <w:rsid w:val="00947A5A"/>
    <w:rsid w:val="009701A2"/>
    <w:rsid w:val="00973775"/>
    <w:rsid w:val="00987D73"/>
    <w:rsid w:val="009A58BD"/>
    <w:rsid w:val="009A6F1B"/>
    <w:rsid w:val="009B1404"/>
    <w:rsid w:val="009B6368"/>
    <w:rsid w:val="009C0D26"/>
    <w:rsid w:val="009C5D47"/>
    <w:rsid w:val="009E24F7"/>
    <w:rsid w:val="009F4050"/>
    <w:rsid w:val="009F5242"/>
    <w:rsid w:val="009F6CB3"/>
    <w:rsid w:val="00A02AB3"/>
    <w:rsid w:val="00A05292"/>
    <w:rsid w:val="00A06C97"/>
    <w:rsid w:val="00A270D7"/>
    <w:rsid w:val="00A30412"/>
    <w:rsid w:val="00A34229"/>
    <w:rsid w:val="00A362DE"/>
    <w:rsid w:val="00A4206C"/>
    <w:rsid w:val="00A47552"/>
    <w:rsid w:val="00A500E7"/>
    <w:rsid w:val="00A55E72"/>
    <w:rsid w:val="00A60370"/>
    <w:rsid w:val="00A64251"/>
    <w:rsid w:val="00A64991"/>
    <w:rsid w:val="00A67490"/>
    <w:rsid w:val="00A80F45"/>
    <w:rsid w:val="00A81764"/>
    <w:rsid w:val="00A827F1"/>
    <w:rsid w:val="00A867F7"/>
    <w:rsid w:val="00A91A45"/>
    <w:rsid w:val="00AA010F"/>
    <w:rsid w:val="00AA2E8E"/>
    <w:rsid w:val="00AA657A"/>
    <w:rsid w:val="00AB1FC1"/>
    <w:rsid w:val="00AC1814"/>
    <w:rsid w:val="00AC202F"/>
    <w:rsid w:val="00AC3959"/>
    <w:rsid w:val="00AE305A"/>
    <w:rsid w:val="00AF0D1A"/>
    <w:rsid w:val="00AF51F3"/>
    <w:rsid w:val="00AF557E"/>
    <w:rsid w:val="00AF75FD"/>
    <w:rsid w:val="00B04B2E"/>
    <w:rsid w:val="00B15BBF"/>
    <w:rsid w:val="00B1697D"/>
    <w:rsid w:val="00B27BA4"/>
    <w:rsid w:val="00B31D67"/>
    <w:rsid w:val="00B32835"/>
    <w:rsid w:val="00B66805"/>
    <w:rsid w:val="00B872E3"/>
    <w:rsid w:val="00BA05DF"/>
    <w:rsid w:val="00BA1AFE"/>
    <w:rsid w:val="00BA426F"/>
    <w:rsid w:val="00BA42E5"/>
    <w:rsid w:val="00BB071D"/>
    <w:rsid w:val="00BD6C2A"/>
    <w:rsid w:val="00BE03A1"/>
    <w:rsid w:val="00BF4BCB"/>
    <w:rsid w:val="00BF6D9F"/>
    <w:rsid w:val="00C05E7E"/>
    <w:rsid w:val="00C15ED9"/>
    <w:rsid w:val="00C16E0B"/>
    <w:rsid w:val="00C35AE6"/>
    <w:rsid w:val="00C3740F"/>
    <w:rsid w:val="00C40547"/>
    <w:rsid w:val="00C47C32"/>
    <w:rsid w:val="00C52869"/>
    <w:rsid w:val="00C70D5A"/>
    <w:rsid w:val="00C735DC"/>
    <w:rsid w:val="00C73807"/>
    <w:rsid w:val="00C8179D"/>
    <w:rsid w:val="00C82851"/>
    <w:rsid w:val="00C94D35"/>
    <w:rsid w:val="00C95757"/>
    <w:rsid w:val="00CB0B94"/>
    <w:rsid w:val="00CB3BEB"/>
    <w:rsid w:val="00CC2447"/>
    <w:rsid w:val="00CD275C"/>
    <w:rsid w:val="00CD3297"/>
    <w:rsid w:val="00CD5267"/>
    <w:rsid w:val="00CD6065"/>
    <w:rsid w:val="00CE4A94"/>
    <w:rsid w:val="00CF4F5E"/>
    <w:rsid w:val="00D131C6"/>
    <w:rsid w:val="00D166C8"/>
    <w:rsid w:val="00D2019D"/>
    <w:rsid w:val="00D2474F"/>
    <w:rsid w:val="00D24DDA"/>
    <w:rsid w:val="00D36A83"/>
    <w:rsid w:val="00D376A5"/>
    <w:rsid w:val="00D51F92"/>
    <w:rsid w:val="00D55691"/>
    <w:rsid w:val="00D615ED"/>
    <w:rsid w:val="00D8236D"/>
    <w:rsid w:val="00D85FB9"/>
    <w:rsid w:val="00D87CC5"/>
    <w:rsid w:val="00DA2044"/>
    <w:rsid w:val="00DB218E"/>
    <w:rsid w:val="00DB3C38"/>
    <w:rsid w:val="00DB6EB6"/>
    <w:rsid w:val="00DC5C95"/>
    <w:rsid w:val="00DC71CA"/>
    <w:rsid w:val="00DD38BD"/>
    <w:rsid w:val="00DE081D"/>
    <w:rsid w:val="00DE2295"/>
    <w:rsid w:val="00DE3DB2"/>
    <w:rsid w:val="00DE5DE6"/>
    <w:rsid w:val="00DE6113"/>
    <w:rsid w:val="00DF66D4"/>
    <w:rsid w:val="00E005DC"/>
    <w:rsid w:val="00E01C6D"/>
    <w:rsid w:val="00E07872"/>
    <w:rsid w:val="00E13E38"/>
    <w:rsid w:val="00E16CD4"/>
    <w:rsid w:val="00E17E8F"/>
    <w:rsid w:val="00E22D5A"/>
    <w:rsid w:val="00E432C0"/>
    <w:rsid w:val="00E50912"/>
    <w:rsid w:val="00E53F98"/>
    <w:rsid w:val="00E752AF"/>
    <w:rsid w:val="00E82B67"/>
    <w:rsid w:val="00E93AAE"/>
    <w:rsid w:val="00E94848"/>
    <w:rsid w:val="00E97079"/>
    <w:rsid w:val="00E97A5F"/>
    <w:rsid w:val="00E97AC4"/>
    <w:rsid w:val="00E97C3D"/>
    <w:rsid w:val="00EA2868"/>
    <w:rsid w:val="00EA3C10"/>
    <w:rsid w:val="00EB2978"/>
    <w:rsid w:val="00EC0ED0"/>
    <w:rsid w:val="00EC509F"/>
    <w:rsid w:val="00ED0055"/>
    <w:rsid w:val="00ED36B6"/>
    <w:rsid w:val="00F00670"/>
    <w:rsid w:val="00F05328"/>
    <w:rsid w:val="00F06CA8"/>
    <w:rsid w:val="00F108D8"/>
    <w:rsid w:val="00F208F5"/>
    <w:rsid w:val="00F22C81"/>
    <w:rsid w:val="00F35276"/>
    <w:rsid w:val="00F3653E"/>
    <w:rsid w:val="00F43ECC"/>
    <w:rsid w:val="00F4425C"/>
    <w:rsid w:val="00F5346E"/>
    <w:rsid w:val="00F57501"/>
    <w:rsid w:val="00F6482E"/>
    <w:rsid w:val="00F77540"/>
    <w:rsid w:val="00F81CD5"/>
    <w:rsid w:val="00F918B1"/>
    <w:rsid w:val="00F96A9E"/>
    <w:rsid w:val="00FA015F"/>
    <w:rsid w:val="00FC264B"/>
    <w:rsid w:val="00FC6E6B"/>
    <w:rsid w:val="00FD3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10936"/>
  <w15:docId w15:val="{851784B3-8EDE-49C1-819E-485DEA9E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BA42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C8179D"/>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2044"/>
    <w:pPr>
      <w:ind w:left="720"/>
      <w:contextualSpacing/>
    </w:pPr>
  </w:style>
  <w:style w:type="paragraph" w:styleId="a4">
    <w:name w:val="Balloon Text"/>
    <w:basedOn w:val="a"/>
    <w:link w:val="a5"/>
    <w:uiPriority w:val="99"/>
    <w:semiHidden/>
    <w:unhideWhenUsed/>
    <w:rsid w:val="008575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75D2"/>
    <w:rPr>
      <w:rFonts w:ascii="Tahoma" w:hAnsi="Tahoma" w:cs="Tahoma"/>
      <w:sz w:val="16"/>
      <w:szCs w:val="16"/>
    </w:rPr>
  </w:style>
  <w:style w:type="character" w:styleId="a6">
    <w:name w:val="Hyperlink"/>
    <w:basedOn w:val="a0"/>
    <w:uiPriority w:val="99"/>
    <w:unhideWhenUsed/>
    <w:rsid w:val="000E2C66"/>
    <w:rPr>
      <w:color w:val="0563C1" w:themeColor="hyperlink"/>
      <w:u w:val="single"/>
    </w:rPr>
  </w:style>
  <w:style w:type="paragraph" w:styleId="a7">
    <w:name w:val="Normal (Web)"/>
    <w:basedOn w:val="a"/>
    <w:uiPriority w:val="99"/>
    <w:semiHidden/>
    <w:unhideWhenUsed/>
    <w:rsid w:val="007B4955"/>
    <w:pPr>
      <w:spacing w:before="100" w:beforeAutospacing="1" w:after="100" w:afterAutospacing="1" w:line="240" w:lineRule="auto"/>
    </w:pPr>
    <w:rPr>
      <w:rFonts w:eastAsia="Times New Roman"/>
      <w:lang w:eastAsia="ru-RU"/>
    </w:rPr>
  </w:style>
  <w:style w:type="paragraph" w:styleId="a8">
    <w:name w:val="No Spacing"/>
    <w:uiPriority w:val="1"/>
    <w:qFormat/>
    <w:rsid w:val="00236B02"/>
    <w:pPr>
      <w:spacing w:after="0" w:line="240" w:lineRule="auto"/>
    </w:pPr>
  </w:style>
  <w:style w:type="character" w:customStyle="1" w:styleId="30">
    <w:name w:val="Заголовок 3 Знак"/>
    <w:basedOn w:val="a0"/>
    <w:link w:val="3"/>
    <w:uiPriority w:val="9"/>
    <w:semiHidden/>
    <w:rsid w:val="00C8179D"/>
    <w:rPr>
      <w:rFonts w:asciiTheme="majorHAnsi" w:eastAsiaTheme="majorEastAsia" w:hAnsiTheme="majorHAnsi" w:cstheme="majorBidi"/>
      <w:color w:val="1F4D78" w:themeColor="accent1" w:themeShade="7F"/>
      <w:sz w:val="24"/>
      <w:szCs w:val="24"/>
    </w:rPr>
  </w:style>
  <w:style w:type="character" w:customStyle="1" w:styleId="20">
    <w:name w:val="Заголовок 2 Знак"/>
    <w:basedOn w:val="a0"/>
    <w:link w:val="2"/>
    <w:uiPriority w:val="9"/>
    <w:semiHidden/>
    <w:rsid w:val="00BA42E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9765">
      <w:bodyDiv w:val="1"/>
      <w:marLeft w:val="0"/>
      <w:marRight w:val="0"/>
      <w:marTop w:val="0"/>
      <w:marBottom w:val="0"/>
      <w:divBdr>
        <w:top w:val="none" w:sz="0" w:space="0" w:color="auto"/>
        <w:left w:val="none" w:sz="0" w:space="0" w:color="auto"/>
        <w:bottom w:val="none" w:sz="0" w:space="0" w:color="auto"/>
        <w:right w:val="none" w:sz="0" w:space="0" w:color="auto"/>
      </w:divBdr>
    </w:div>
    <w:div w:id="182524289">
      <w:bodyDiv w:val="1"/>
      <w:marLeft w:val="0"/>
      <w:marRight w:val="0"/>
      <w:marTop w:val="0"/>
      <w:marBottom w:val="0"/>
      <w:divBdr>
        <w:top w:val="none" w:sz="0" w:space="0" w:color="auto"/>
        <w:left w:val="none" w:sz="0" w:space="0" w:color="auto"/>
        <w:bottom w:val="none" w:sz="0" w:space="0" w:color="auto"/>
        <w:right w:val="none" w:sz="0" w:space="0" w:color="auto"/>
      </w:divBdr>
    </w:div>
    <w:div w:id="202208616">
      <w:bodyDiv w:val="1"/>
      <w:marLeft w:val="0"/>
      <w:marRight w:val="0"/>
      <w:marTop w:val="0"/>
      <w:marBottom w:val="0"/>
      <w:divBdr>
        <w:top w:val="none" w:sz="0" w:space="0" w:color="auto"/>
        <w:left w:val="none" w:sz="0" w:space="0" w:color="auto"/>
        <w:bottom w:val="none" w:sz="0" w:space="0" w:color="auto"/>
        <w:right w:val="none" w:sz="0" w:space="0" w:color="auto"/>
      </w:divBdr>
    </w:div>
    <w:div w:id="320275015">
      <w:bodyDiv w:val="1"/>
      <w:marLeft w:val="0"/>
      <w:marRight w:val="0"/>
      <w:marTop w:val="0"/>
      <w:marBottom w:val="0"/>
      <w:divBdr>
        <w:top w:val="none" w:sz="0" w:space="0" w:color="auto"/>
        <w:left w:val="none" w:sz="0" w:space="0" w:color="auto"/>
        <w:bottom w:val="none" w:sz="0" w:space="0" w:color="auto"/>
        <w:right w:val="none" w:sz="0" w:space="0" w:color="auto"/>
      </w:divBdr>
    </w:div>
    <w:div w:id="405759846">
      <w:bodyDiv w:val="1"/>
      <w:marLeft w:val="0"/>
      <w:marRight w:val="0"/>
      <w:marTop w:val="0"/>
      <w:marBottom w:val="0"/>
      <w:divBdr>
        <w:top w:val="none" w:sz="0" w:space="0" w:color="auto"/>
        <w:left w:val="none" w:sz="0" w:space="0" w:color="auto"/>
        <w:bottom w:val="none" w:sz="0" w:space="0" w:color="auto"/>
        <w:right w:val="none" w:sz="0" w:space="0" w:color="auto"/>
      </w:divBdr>
    </w:div>
    <w:div w:id="467935252">
      <w:bodyDiv w:val="1"/>
      <w:marLeft w:val="0"/>
      <w:marRight w:val="0"/>
      <w:marTop w:val="0"/>
      <w:marBottom w:val="0"/>
      <w:divBdr>
        <w:top w:val="none" w:sz="0" w:space="0" w:color="auto"/>
        <w:left w:val="none" w:sz="0" w:space="0" w:color="auto"/>
        <w:bottom w:val="none" w:sz="0" w:space="0" w:color="auto"/>
        <w:right w:val="none" w:sz="0" w:space="0" w:color="auto"/>
      </w:divBdr>
    </w:div>
    <w:div w:id="601571104">
      <w:bodyDiv w:val="1"/>
      <w:marLeft w:val="0"/>
      <w:marRight w:val="0"/>
      <w:marTop w:val="0"/>
      <w:marBottom w:val="0"/>
      <w:divBdr>
        <w:top w:val="none" w:sz="0" w:space="0" w:color="auto"/>
        <w:left w:val="none" w:sz="0" w:space="0" w:color="auto"/>
        <w:bottom w:val="none" w:sz="0" w:space="0" w:color="auto"/>
        <w:right w:val="none" w:sz="0" w:space="0" w:color="auto"/>
      </w:divBdr>
    </w:div>
    <w:div w:id="668362045">
      <w:bodyDiv w:val="1"/>
      <w:marLeft w:val="0"/>
      <w:marRight w:val="0"/>
      <w:marTop w:val="0"/>
      <w:marBottom w:val="0"/>
      <w:divBdr>
        <w:top w:val="none" w:sz="0" w:space="0" w:color="auto"/>
        <w:left w:val="none" w:sz="0" w:space="0" w:color="auto"/>
        <w:bottom w:val="none" w:sz="0" w:space="0" w:color="auto"/>
        <w:right w:val="none" w:sz="0" w:space="0" w:color="auto"/>
      </w:divBdr>
    </w:div>
    <w:div w:id="721174566">
      <w:bodyDiv w:val="1"/>
      <w:marLeft w:val="0"/>
      <w:marRight w:val="0"/>
      <w:marTop w:val="0"/>
      <w:marBottom w:val="0"/>
      <w:divBdr>
        <w:top w:val="none" w:sz="0" w:space="0" w:color="auto"/>
        <w:left w:val="none" w:sz="0" w:space="0" w:color="auto"/>
        <w:bottom w:val="none" w:sz="0" w:space="0" w:color="auto"/>
        <w:right w:val="none" w:sz="0" w:space="0" w:color="auto"/>
      </w:divBdr>
    </w:div>
    <w:div w:id="759758947">
      <w:bodyDiv w:val="1"/>
      <w:marLeft w:val="0"/>
      <w:marRight w:val="0"/>
      <w:marTop w:val="0"/>
      <w:marBottom w:val="0"/>
      <w:divBdr>
        <w:top w:val="none" w:sz="0" w:space="0" w:color="auto"/>
        <w:left w:val="none" w:sz="0" w:space="0" w:color="auto"/>
        <w:bottom w:val="none" w:sz="0" w:space="0" w:color="auto"/>
        <w:right w:val="none" w:sz="0" w:space="0" w:color="auto"/>
      </w:divBdr>
    </w:div>
    <w:div w:id="906496011">
      <w:bodyDiv w:val="1"/>
      <w:marLeft w:val="0"/>
      <w:marRight w:val="0"/>
      <w:marTop w:val="0"/>
      <w:marBottom w:val="0"/>
      <w:divBdr>
        <w:top w:val="none" w:sz="0" w:space="0" w:color="auto"/>
        <w:left w:val="none" w:sz="0" w:space="0" w:color="auto"/>
        <w:bottom w:val="none" w:sz="0" w:space="0" w:color="auto"/>
        <w:right w:val="none" w:sz="0" w:space="0" w:color="auto"/>
      </w:divBdr>
    </w:div>
    <w:div w:id="956064761">
      <w:bodyDiv w:val="1"/>
      <w:marLeft w:val="0"/>
      <w:marRight w:val="0"/>
      <w:marTop w:val="0"/>
      <w:marBottom w:val="0"/>
      <w:divBdr>
        <w:top w:val="none" w:sz="0" w:space="0" w:color="auto"/>
        <w:left w:val="none" w:sz="0" w:space="0" w:color="auto"/>
        <w:bottom w:val="none" w:sz="0" w:space="0" w:color="auto"/>
        <w:right w:val="none" w:sz="0" w:space="0" w:color="auto"/>
      </w:divBdr>
    </w:div>
    <w:div w:id="980887121">
      <w:bodyDiv w:val="1"/>
      <w:marLeft w:val="0"/>
      <w:marRight w:val="0"/>
      <w:marTop w:val="0"/>
      <w:marBottom w:val="0"/>
      <w:divBdr>
        <w:top w:val="none" w:sz="0" w:space="0" w:color="auto"/>
        <w:left w:val="none" w:sz="0" w:space="0" w:color="auto"/>
        <w:bottom w:val="none" w:sz="0" w:space="0" w:color="auto"/>
        <w:right w:val="none" w:sz="0" w:space="0" w:color="auto"/>
      </w:divBdr>
    </w:div>
    <w:div w:id="1178886272">
      <w:bodyDiv w:val="1"/>
      <w:marLeft w:val="0"/>
      <w:marRight w:val="0"/>
      <w:marTop w:val="0"/>
      <w:marBottom w:val="0"/>
      <w:divBdr>
        <w:top w:val="none" w:sz="0" w:space="0" w:color="auto"/>
        <w:left w:val="none" w:sz="0" w:space="0" w:color="auto"/>
        <w:bottom w:val="none" w:sz="0" w:space="0" w:color="auto"/>
        <w:right w:val="none" w:sz="0" w:space="0" w:color="auto"/>
      </w:divBdr>
    </w:div>
    <w:div w:id="1261445868">
      <w:bodyDiv w:val="1"/>
      <w:marLeft w:val="0"/>
      <w:marRight w:val="0"/>
      <w:marTop w:val="0"/>
      <w:marBottom w:val="0"/>
      <w:divBdr>
        <w:top w:val="none" w:sz="0" w:space="0" w:color="auto"/>
        <w:left w:val="none" w:sz="0" w:space="0" w:color="auto"/>
        <w:bottom w:val="none" w:sz="0" w:space="0" w:color="auto"/>
        <w:right w:val="none" w:sz="0" w:space="0" w:color="auto"/>
      </w:divBdr>
    </w:div>
    <w:div w:id="1296446948">
      <w:bodyDiv w:val="1"/>
      <w:marLeft w:val="0"/>
      <w:marRight w:val="0"/>
      <w:marTop w:val="0"/>
      <w:marBottom w:val="0"/>
      <w:divBdr>
        <w:top w:val="none" w:sz="0" w:space="0" w:color="auto"/>
        <w:left w:val="none" w:sz="0" w:space="0" w:color="auto"/>
        <w:bottom w:val="none" w:sz="0" w:space="0" w:color="auto"/>
        <w:right w:val="none" w:sz="0" w:space="0" w:color="auto"/>
      </w:divBdr>
    </w:div>
    <w:div w:id="1353916719">
      <w:bodyDiv w:val="1"/>
      <w:marLeft w:val="0"/>
      <w:marRight w:val="0"/>
      <w:marTop w:val="0"/>
      <w:marBottom w:val="0"/>
      <w:divBdr>
        <w:top w:val="none" w:sz="0" w:space="0" w:color="auto"/>
        <w:left w:val="none" w:sz="0" w:space="0" w:color="auto"/>
        <w:bottom w:val="none" w:sz="0" w:space="0" w:color="auto"/>
        <w:right w:val="none" w:sz="0" w:space="0" w:color="auto"/>
      </w:divBdr>
    </w:div>
    <w:div w:id="1419671149">
      <w:bodyDiv w:val="1"/>
      <w:marLeft w:val="0"/>
      <w:marRight w:val="0"/>
      <w:marTop w:val="0"/>
      <w:marBottom w:val="0"/>
      <w:divBdr>
        <w:top w:val="none" w:sz="0" w:space="0" w:color="auto"/>
        <w:left w:val="none" w:sz="0" w:space="0" w:color="auto"/>
        <w:bottom w:val="none" w:sz="0" w:space="0" w:color="auto"/>
        <w:right w:val="none" w:sz="0" w:space="0" w:color="auto"/>
      </w:divBdr>
    </w:div>
    <w:div w:id="1460369584">
      <w:bodyDiv w:val="1"/>
      <w:marLeft w:val="0"/>
      <w:marRight w:val="0"/>
      <w:marTop w:val="0"/>
      <w:marBottom w:val="0"/>
      <w:divBdr>
        <w:top w:val="none" w:sz="0" w:space="0" w:color="auto"/>
        <w:left w:val="none" w:sz="0" w:space="0" w:color="auto"/>
        <w:bottom w:val="none" w:sz="0" w:space="0" w:color="auto"/>
        <w:right w:val="none" w:sz="0" w:space="0" w:color="auto"/>
      </w:divBdr>
    </w:div>
    <w:div w:id="1463812729">
      <w:bodyDiv w:val="1"/>
      <w:marLeft w:val="0"/>
      <w:marRight w:val="0"/>
      <w:marTop w:val="0"/>
      <w:marBottom w:val="0"/>
      <w:divBdr>
        <w:top w:val="none" w:sz="0" w:space="0" w:color="auto"/>
        <w:left w:val="none" w:sz="0" w:space="0" w:color="auto"/>
        <w:bottom w:val="none" w:sz="0" w:space="0" w:color="auto"/>
        <w:right w:val="none" w:sz="0" w:space="0" w:color="auto"/>
      </w:divBdr>
    </w:div>
    <w:div w:id="1524591493">
      <w:bodyDiv w:val="1"/>
      <w:marLeft w:val="0"/>
      <w:marRight w:val="0"/>
      <w:marTop w:val="0"/>
      <w:marBottom w:val="0"/>
      <w:divBdr>
        <w:top w:val="none" w:sz="0" w:space="0" w:color="auto"/>
        <w:left w:val="none" w:sz="0" w:space="0" w:color="auto"/>
        <w:bottom w:val="none" w:sz="0" w:space="0" w:color="auto"/>
        <w:right w:val="none" w:sz="0" w:space="0" w:color="auto"/>
      </w:divBdr>
    </w:div>
    <w:div w:id="1779057119">
      <w:bodyDiv w:val="1"/>
      <w:marLeft w:val="0"/>
      <w:marRight w:val="0"/>
      <w:marTop w:val="0"/>
      <w:marBottom w:val="0"/>
      <w:divBdr>
        <w:top w:val="none" w:sz="0" w:space="0" w:color="auto"/>
        <w:left w:val="none" w:sz="0" w:space="0" w:color="auto"/>
        <w:bottom w:val="none" w:sz="0" w:space="0" w:color="auto"/>
        <w:right w:val="none" w:sz="0" w:space="0" w:color="auto"/>
      </w:divBdr>
    </w:div>
    <w:div w:id="1817844278">
      <w:bodyDiv w:val="1"/>
      <w:marLeft w:val="0"/>
      <w:marRight w:val="0"/>
      <w:marTop w:val="0"/>
      <w:marBottom w:val="0"/>
      <w:divBdr>
        <w:top w:val="none" w:sz="0" w:space="0" w:color="auto"/>
        <w:left w:val="none" w:sz="0" w:space="0" w:color="auto"/>
        <w:bottom w:val="none" w:sz="0" w:space="0" w:color="auto"/>
        <w:right w:val="none" w:sz="0" w:space="0" w:color="auto"/>
      </w:divBdr>
    </w:div>
    <w:div w:id="1901473914">
      <w:bodyDiv w:val="1"/>
      <w:marLeft w:val="0"/>
      <w:marRight w:val="0"/>
      <w:marTop w:val="0"/>
      <w:marBottom w:val="0"/>
      <w:divBdr>
        <w:top w:val="none" w:sz="0" w:space="0" w:color="auto"/>
        <w:left w:val="none" w:sz="0" w:space="0" w:color="auto"/>
        <w:bottom w:val="none" w:sz="0" w:space="0" w:color="auto"/>
        <w:right w:val="none" w:sz="0" w:space="0" w:color="auto"/>
      </w:divBdr>
    </w:div>
    <w:div w:id="206100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220DE-1F88-4AA1-82B2-ADA6890CD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1852</Words>
  <Characters>10558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dcterms:created xsi:type="dcterms:W3CDTF">2020-12-03T11:43:00Z</dcterms:created>
  <dcterms:modified xsi:type="dcterms:W3CDTF">2020-12-03T12:02:00Z</dcterms:modified>
</cp:coreProperties>
</file>