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79" w:rsidRPr="00AC7279" w:rsidRDefault="00AC7279" w:rsidP="00AC7279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AC7279">
        <w:rPr>
          <w:rFonts w:ascii="Times New Roman" w:hAnsi="Times New Roman"/>
          <w:b/>
          <w:sz w:val="24"/>
          <w:szCs w:val="24"/>
        </w:rPr>
        <w:t>«Балтийский лизинг» открыл филиал в Новом Уренгое</w:t>
      </w:r>
    </w:p>
    <w:p w:rsidR="00AC7279" w:rsidRPr="00AC7279" w:rsidRDefault="00D0751B" w:rsidP="00AC727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C7279">
        <w:rPr>
          <w:rFonts w:ascii="Times New Roman" w:hAnsi="Times New Roman"/>
          <w:b/>
          <w:sz w:val="24"/>
          <w:szCs w:val="24"/>
        </w:rPr>
        <w:t>С</w:t>
      </w:r>
      <w:r w:rsidR="00763043" w:rsidRPr="00AC7279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B11070" w:rsidRPr="00AC7279">
        <w:rPr>
          <w:rFonts w:ascii="Times New Roman" w:hAnsi="Times New Roman"/>
          <w:b/>
          <w:sz w:val="24"/>
          <w:szCs w:val="24"/>
        </w:rPr>
        <w:t>1</w:t>
      </w:r>
      <w:r w:rsidR="00AC7279" w:rsidRPr="00AC7279">
        <w:rPr>
          <w:rFonts w:ascii="Times New Roman" w:hAnsi="Times New Roman"/>
          <w:b/>
          <w:sz w:val="24"/>
          <w:szCs w:val="24"/>
        </w:rPr>
        <w:t>4</w:t>
      </w:r>
      <w:r w:rsidR="00B11070" w:rsidRPr="00AC7279">
        <w:rPr>
          <w:rFonts w:ascii="Times New Roman" w:hAnsi="Times New Roman"/>
          <w:b/>
          <w:sz w:val="24"/>
          <w:szCs w:val="24"/>
        </w:rPr>
        <w:t xml:space="preserve"> января</w:t>
      </w:r>
      <w:r w:rsidR="000F62C2" w:rsidRPr="00AC7279">
        <w:rPr>
          <w:rFonts w:ascii="Times New Roman" w:hAnsi="Times New Roman"/>
          <w:b/>
          <w:sz w:val="24"/>
          <w:szCs w:val="24"/>
        </w:rPr>
        <w:t xml:space="preserve"> </w:t>
      </w:r>
      <w:r w:rsidR="00B11070" w:rsidRPr="00AC7279">
        <w:rPr>
          <w:rFonts w:ascii="Times New Roman" w:hAnsi="Times New Roman"/>
          <w:b/>
          <w:sz w:val="24"/>
          <w:szCs w:val="24"/>
        </w:rPr>
        <w:t>2021</w:t>
      </w:r>
      <w:r w:rsidR="00763043" w:rsidRPr="00AC7279">
        <w:rPr>
          <w:rFonts w:ascii="Times New Roman" w:hAnsi="Times New Roman"/>
          <w:b/>
          <w:sz w:val="24"/>
          <w:szCs w:val="24"/>
        </w:rPr>
        <w:t xml:space="preserve"> года.</w:t>
      </w:r>
      <w:r w:rsidR="00763043" w:rsidRPr="00AC7279">
        <w:rPr>
          <w:rFonts w:ascii="Times New Roman" w:hAnsi="Times New Roman"/>
          <w:sz w:val="24"/>
          <w:szCs w:val="24"/>
        </w:rPr>
        <w:t xml:space="preserve"> </w:t>
      </w:r>
      <w:r w:rsidR="00AC7279" w:rsidRPr="00AC7279">
        <w:rPr>
          <w:rFonts w:ascii="Times New Roman" w:hAnsi="Times New Roman"/>
          <w:sz w:val="24"/>
          <w:szCs w:val="24"/>
        </w:rPr>
        <w:t>Компания «Балтийский лизинг» начала 2021 год с открытия офиса в Новом Уренгое. В филиальной сети подразделение стало 75-м по счету. Сотрудники филиала ждут клиентов по адресу: Новый Уренгой, проспект Губкина, дом № 4, офис 25. Телефон: 8 800 222 05 55, 8 (349) 424 54 46.</w:t>
      </w:r>
    </w:p>
    <w:p w:rsidR="00AC7279" w:rsidRPr="00AC7279" w:rsidRDefault="00AC7279" w:rsidP="00AC727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C7279">
        <w:rPr>
          <w:rFonts w:ascii="Times New Roman" w:hAnsi="Times New Roman"/>
          <w:sz w:val="24"/>
          <w:szCs w:val="24"/>
        </w:rPr>
        <w:t>Новый Уренгой – крупнейший населенный пункт Ямало-Ненецкого автономного округа. По информации Национальной ассоциации нефтегазового сервиса, город является «газовой столицей России» – более 70% газа, добываемого в нашей стране, приходится на долю предприятий, расположенных в Новом Уренгое. Здесь формируются многониточные газовые потоки, часть из которых следует в Европу.</w:t>
      </w:r>
    </w:p>
    <w:p w:rsidR="00AC7279" w:rsidRPr="00AC7279" w:rsidRDefault="00AC7279" w:rsidP="00AC727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C7279">
        <w:rPr>
          <w:rFonts w:ascii="Times New Roman" w:hAnsi="Times New Roman"/>
          <w:sz w:val="24"/>
          <w:szCs w:val="24"/>
        </w:rPr>
        <w:t xml:space="preserve">«Балтийский лизинг» уже плотно работает с клиентами в Ямало-Ненецком автономном округе, но открыв филиал в Новом Уренгое, компания сможет предложить еще больший комплекс лизинговых услуг, гарантировать оперативность взаимодействия и принятия решений. Мы высоко оцениваем перспективы развития региона, принимаем сложности, связанные с территориальной доступностью и климатическими особенностями, но готовы помогать в развитии компаниям, находящимся в ЯНАО», - рассказал руководитель дивизиона «Урал» компании «Балтийский лизинг» </w:t>
      </w:r>
      <w:r w:rsidRPr="00AC7279">
        <w:rPr>
          <w:rFonts w:ascii="Times New Roman" w:hAnsi="Times New Roman"/>
          <w:b/>
          <w:sz w:val="24"/>
          <w:szCs w:val="24"/>
        </w:rPr>
        <w:t>Алексей Мятлик.</w:t>
      </w:r>
    </w:p>
    <w:p w:rsidR="00AC7279" w:rsidRPr="00AC7279" w:rsidRDefault="00AC7279" w:rsidP="00AC727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C7279">
        <w:rPr>
          <w:rFonts w:ascii="Times New Roman" w:hAnsi="Times New Roman"/>
          <w:sz w:val="24"/>
          <w:szCs w:val="24"/>
        </w:rPr>
        <w:t>«Балтийский лизинг» занимает одну из лидирующих позиций на российском рынке. Так, по результатам января-сентября 2020 года компания расположилась на </w:t>
      </w:r>
      <w:hyperlink r:id="rId8" w:history="1">
        <w:r w:rsidRPr="00AC7279">
          <w:rPr>
            <w:rStyle w:val="a9"/>
            <w:rFonts w:ascii="Times New Roman" w:hAnsi="Times New Roman"/>
            <w:sz w:val="24"/>
            <w:szCs w:val="24"/>
          </w:rPr>
          <w:t xml:space="preserve">седьмой строчке отраслевого </w:t>
        </w:r>
        <w:proofErr w:type="spellStart"/>
        <w:r w:rsidRPr="00AC7279">
          <w:rPr>
            <w:rStyle w:val="a9"/>
            <w:rFonts w:ascii="Times New Roman" w:hAnsi="Times New Roman"/>
            <w:sz w:val="24"/>
            <w:szCs w:val="24"/>
          </w:rPr>
          <w:t>рэнкинга</w:t>
        </w:r>
        <w:proofErr w:type="spellEnd"/>
      </w:hyperlink>
      <w:r w:rsidRPr="00AC7279">
        <w:rPr>
          <w:rFonts w:ascii="Times New Roman" w:hAnsi="Times New Roman"/>
          <w:sz w:val="24"/>
          <w:szCs w:val="24"/>
        </w:rPr>
        <w:t> «Эксперт РА» по объему нового бизнеса, который по итогам трех кварталов 2020 года </w:t>
      </w:r>
      <w:hyperlink r:id="rId9" w:history="1">
        <w:r w:rsidRPr="00AC7279">
          <w:rPr>
            <w:rStyle w:val="a9"/>
            <w:rFonts w:ascii="Times New Roman" w:hAnsi="Times New Roman"/>
            <w:sz w:val="24"/>
            <w:szCs w:val="24"/>
          </w:rPr>
          <w:t xml:space="preserve">превысил 45,6 </w:t>
        </w:r>
        <w:proofErr w:type="spellStart"/>
        <w:proofErr w:type="gramStart"/>
        <w:r w:rsidRPr="00AC7279">
          <w:rPr>
            <w:rStyle w:val="a9"/>
            <w:rFonts w:ascii="Times New Roman" w:hAnsi="Times New Roman"/>
            <w:sz w:val="24"/>
            <w:szCs w:val="24"/>
          </w:rPr>
          <w:t>млрд</w:t>
        </w:r>
        <w:proofErr w:type="spellEnd"/>
        <w:proofErr w:type="gramEnd"/>
        <w:r w:rsidRPr="00AC7279">
          <w:rPr>
            <w:rStyle w:val="a9"/>
            <w:rFonts w:ascii="Times New Roman" w:hAnsi="Times New Roman"/>
            <w:sz w:val="24"/>
            <w:szCs w:val="24"/>
          </w:rPr>
          <w:t xml:space="preserve"> рублей</w:t>
        </w:r>
      </w:hyperlink>
      <w:r w:rsidRPr="00AC7279">
        <w:rPr>
          <w:rFonts w:ascii="Times New Roman" w:hAnsi="Times New Roman"/>
          <w:sz w:val="24"/>
          <w:szCs w:val="24"/>
        </w:rPr>
        <w:t xml:space="preserve">, что на 15,7% больше аналогичного показателя 2019 года. Также в конце 2020 года «Балтийский лизинг» занял третье место в номинации </w:t>
      </w:r>
      <w:hyperlink r:id="rId10" w:history="1">
        <w:r w:rsidRPr="00AC7279">
          <w:rPr>
            <w:rStyle w:val="a9"/>
            <w:rFonts w:ascii="Times New Roman" w:hAnsi="Times New Roman"/>
            <w:sz w:val="24"/>
            <w:szCs w:val="24"/>
          </w:rPr>
          <w:t>«Лизинговая компания года в розничном сегменте»</w:t>
        </w:r>
      </w:hyperlink>
      <w:r w:rsidRPr="00AC7279">
        <w:rPr>
          <w:rFonts w:ascii="Times New Roman" w:hAnsi="Times New Roman"/>
          <w:sz w:val="24"/>
          <w:szCs w:val="24"/>
        </w:rPr>
        <w:t xml:space="preserve"> в рамках второй Национальной премии «Лизинговая сделка года 2020», организованной редакцией портала «Федерация лизинга».</w:t>
      </w:r>
    </w:p>
    <w:p w:rsidR="00AC7279" w:rsidRPr="00AC7279" w:rsidRDefault="00AC7279" w:rsidP="00AC727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C7279">
        <w:rPr>
          <w:rFonts w:ascii="Times New Roman" w:hAnsi="Times New Roman"/>
          <w:sz w:val="24"/>
          <w:szCs w:val="24"/>
        </w:rPr>
        <w:t xml:space="preserve">На сегодня филиальная сеть «Балтийского лизинга» насчитывает 75 региональных подразделений. Сотрудники филиалов формируют для клиентов комплексные предложения для бизнеса по лизингу оборудования, спецтехники и транспорта. Сейчас в линейке </w:t>
      </w:r>
      <w:proofErr w:type="spellStart"/>
      <w:r w:rsidRPr="00AC7279">
        <w:rPr>
          <w:rFonts w:ascii="Times New Roman" w:hAnsi="Times New Roman"/>
          <w:sz w:val="24"/>
          <w:szCs w:val="24"/>
        </w:rPr>
        <w:t>спецпредложений</w:t>
      </w:r>
      <w:proofErr w:type="spellEnd"/>
      <w:r w:rsidRPr="00AC7279">
        <w:rPr>
          <w:rFonts w:ascii="Times New Roman" w:hAnsi="Times New Roman"/>
          <w:sz w:val="24"/>
          <w:szCs w:val="24"/>
        </w:rPr>
        <w:t xml:space="preserve"> компании </w:t>
      </w:r>
      <w:hyperlink r:id="rId11" w:history="1">
        <w:r w:rsidRPr="00AC7279">
          <w:rPr>
            <w:rStyle w:val="a9"/>
            <w:rFonts w:ascii="Times New Roman" w:hAnsi="Times New Roman"/>
            <w:sz w:val="24"/>
            <w:szCs w:val="24"/>
          </w:rPr>
          <w:t>порядка  40 программ</w:t>
        </w:r>
      </w:hyperlink>
      <w:r w:rsidRPr="00AC7279">
        <w:rPr>
          <w:rFonts w:ascii="Times New Roman" w:hAnsi="Times New Roman"/>
          <w:sz w:val="24"/>
          <w:szCs w:val="24"/>
        </w:rPr>
        <w:t> в различных сегментах. Все они доступны для представителей МСБ, чья доля по итогам девяти месяцев 2020 года достигла 92% в общем объеме нового бизнеса «Балтийского лизинга».</w:t>
      </w:r>
    </w:p>
    <w:p w:rsidR="00AE6084" w:rsidRPr="0064059E" w:rsidRDefault="00BC47D2" w:rsidP="0030458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682A10">
      <w:pPr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7715E4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рэнкинге агентства «Эксперт РА» по итогам </w:t>
      </w:r>
      <w:r w:rsidR="001B7B20">
        <w:rPr>
          <w:rFonts w:ascii="Times New Roman" w:hAnsi="Times New Roman"/>
          <w:i/>
          <w:sz w:val="20"/>
          <w:szCs w:val="20"/>
        </w:rPr>
        <w:t xml:space="preserve">девяти месяцев </w:t>
      </w:r>
      <w:r w:rsidRPr="007715E4">
        <w:rPr>
          <w:rFonts w:ascii="Times New Roman" w:hAnsi="Times New Roman"/>
          <w:i/>
          <w:sz w:val="20"/>
          <w:szCs w:val="20"/>
        </w:rPr>
        <w:t xml:space="preserve">2020 года. Компания образована в 1990 году. Основная сфера деятельности – предоставление в лизинг оборудования, автотранспорта и спецтехники. Филиальная сеть компании насчитывает 74 подразделения по всей России. По итогам </w:t>
      </w:r>
      <w:r w:rsidR="001B7B20">
        <w:rPr>
          <w:rFonts w:ascii="Times New Roman" w:hAnsi="Times New Roman"/>
          <w:i/>
          <w:sz w:val="20"/>
          <w:szCs w:val="20"/>
        </w:rPr>
        <w:t>девяти</w:t>
      </w:r>
      <w:r w:rsidRPr="007715E4">
        <w:rPr>
          <w:rFonts w:ascii="Times New Roman" w:hAnsi="Times New Roman"/>
          <w:i/>
          <w:sz w:val="20"/>
          <w:szCs w:val="20"/>
        </w:rPr>
        <w:t xml:space="preserve"> месяцев 2020 года объем нового бизнеса (стоимость лизингового имущества без НДС) компании «Балтийский лизинг» превысил </w:t>
      </w:r>
      <w:r w:rsidR="001B7B20">
        <w:rPr>
          <w:rFonts w:ascii="Times New Roman" w:hAnsi="Times New Roman"/>
          <w:i/>
          <w:sz w:val="20"/>
          <w:szCs w:val="20"/>
        </w:rPr>
        <w:t>45,6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1B7B20">
        <w:rPr>
          <w:rFonts w:ascii="Times New Roman" w:hAnsi="Times New Roman"/>
          <w:i/>
          <w:sz w:val="20"/>
          <w:szCs w:val="20"/>
        </w:rPr>
        <w:t>октября</w:t>
      </w:r>
      <w:r w:rsidRPr="007715E4">
        <w:rPr>
          <w:rFonts w:ascii="Times New Roman" w:hAnsi="Times New Roman"/>
          <w:i/>
          <w:sz w:val="20"/>
          <w:szCs w:val="20"/>
        </w:rPr>
        <w:t xml:space="preserve"> 2020 года объем лизингового портфеля составил </w:t>
      </w:r>
      <w:r w:rsidR="001B7B20">
        <w:rPr>
          <w:rFonts w:ascii="Times New Roman" w:hAnsi="Times New Roman"/>
          <w:i/>
          <w:sz w:val="20"/>
          <w:szCs w:val="20"/>
        </w:rPr>
        <w:t>75,5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12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373295" w:rsidP="000A6CD0">
      <w:pPr>
        <w:spacing w:after="240"/>
        <w:jc w:val="right"/>
      </w:pPr>
      <w:hyperlink r:id="rId13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lastRenderedPageBreak/>
        <w:t>тел / факс: (812) 670 90 80 доб.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4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717" w:rsidRDefault="00017717" w:rsidP="007C7DE5">
      <w:r>
        <w:separator/>
      </w:r>
    </w:p>
  </w:endnote>
  <w:endnote w:type="continuationSeparator" w:id="0">
    <w:p w:rsidR="00017717" w:rsidRDefault="00017717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717" w:rsidRDefault="00017717" w:rsidP="007C7DE5">
      <w:r>
        <w:separator/>
      </w:r>
    </w:p>
  </w:footnote>
  <w:footnote w:type="continuationSeparator" w:id="0">
    <w:p w:rsidR="00017717" w:rsidRDefault="00017717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17" w:rsidRDefault="00017717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7717" w:rsidRDefault="00017717">
    <w:pPr>
      <w:pStyle w:val="a3"/>
    </w:pPr>
  </w:p>
  <w:p w:rsidR="00017717" w:rsidRDefault="000177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9121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25EF"/>
    <w:rsid w:val="00055BE3"/>
    <w:rsid w:val="000576CC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A6CD0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131C"/>
    <w:rsid w:val="00102FEC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C81"/>
    <w:rsid w:val="00124672"/>
    <w:rsid w:val="001248F1"/>
    <w:rsid w:val="00127EC9"/>
    <w:rsid w:val="00131AF4"/>
    <w:rsid w:val="00131EDF"/>
    <w:rsid w:val="00132DA6"/>
    <w:rsid w:val="00136582"/>
    <w:rsid w:val="001365B9"/>
    <w:rsid w:val="00142222"/>
    <w:rsid w:val="00143089"/>
    <w:rsid w:val="00144D2E"/>
    <w:rsid w:val="00151B6E"/>
    <w:rsid w:val="00155891"/>
    <w:rsid w:val="00157443"/>
    <w:rsid w:val="00166F02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5143"/>
    <w:rsid w:val="00196AE9"/>
    <w:rsid w:val="001977C6"/>
    <w:rsid w:val="001A1B74"/>
    <w:rsid w:val="001A2456"/>
    <w:rsid w:val="001A36A4"/>
    <w:rsid w:val="001A4D25"/>
    <w:rsid w:val="001A66D6"/>
    <w:rsid w:val="001A6EC2"/>
    <w:rsid w:val="001A7A0B"/>
    <w:rsid w:val="001B0EDA"/>
    <w:rsid w:val="001B1A38"/>
    <w:rsid w:val="001B294D"/>
    <w:rsid w:val="001B37E9"/>
    <w:rsid w:val="001B44BA"/>
    <w:rsid w:val="001B61BD"/>
    <w:rsid w:val="001B7B20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43FF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19C7"/>
    <w:rsid w:val="002B6BA5"/>
    <w:rsid w:val="002C23DF"/>
    <w:rsid w:val="002D1ACD"/>
    <w:rsid w:val="002D2755"/>
    <w:rsid w:val="002D48AB"/>
    <w:rsid w:val="002D7347"/>
    <w:rsid w:val="002D7BE8"/>
    <w:rsid w:val="002E0DEE"/>
    <w:rsid w:val="002E2EE6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B5"/>
    <w:rsid w:val="00336360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4B4F"/>
    <w:rsid w:val="003659B7"/>
    <w:rsid w:val="003710FB"/>
    <w:rsid w:val="00372787"/>
    <w:rsid w:val="00373295"/>
    <w:rsid w:val="00374CF5"/>
    <w:rsid w:val="00375904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5965"/>
    <w:rsid w:val="003A66AB"/>
    <w:rsid w:val="003A770D"/>
    <w:rsid w:val="003B07AD"/>
    <w:rsid w:val="003B4BB8"/>
    <w:rsid w:val="003B7C22"/>
    <w:rsid w:val="003C04B3"/>
    <w:rsid w:val="003C0DDF"/>
    <w:rsid w:val="003C44AC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B71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132CF"/>
    <w:rsid w:val="00513CD1"/>
    <w:rsid w:val="00516880"/>
    <w:rsid w:val="005177C3"/>
    <w:rsid w:val="00521140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466BA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361D"/>
    <w:rsid w:val="005E57A9"/>
    <w:rsid w:val="005E6404"/>
    <w:rsid w:val="005F0E84"/>
    <w:rsid w:val="005F0EFE"/>
    <w:rsid w:val="005F101F"/>
    <w:rsid w:val="005F373E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47A7"/>
    <w:rsid w:val="0066735B"/>
    <w:rsid w:val="0067244E"/>
    <w:rsid w:val="00674D7A"/>
    <w:rsid w:val="006771E7"/>
    <w:rsid w:val="00680475"/>
    <w:rsid w:val="00682A10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11A1"/>
    <w:rsid w:val="006B1C36"/>
    <w:rsid w:val="006B626E"/>
    <w:rsid w:val="006B7C99"/>
    <w:rsid w:val="006C1973"/>
    <w:rsid w:val="006C358C"/>
    <w:rsid w:val="006C5BA7"/>
    <w:rsid w:val="006C61EF"/>
    <w:rsid w:val="006D01DA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4617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15E4"/>
    <w:rsid w:val="0077734F"/>
    <w:rsid w:val="00777A77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28D3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784F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3DC"/>
    <w:rsid w:val="009217A5"/>
    <w:rsid w:val="00921C37"/>
    <w:rsid w:val="00924181"/>
    <w:rsid w:val="00932518"/>
    <w:rsid w:val="00933240"/>
    <w:rsid w:val="009364A9"/>
    <w:rsid w:val="009437E2"/>
    <w:rsid w:val="009475AA"/>
    <w:rsid w:val="00951F7E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90F10"/>
    <w:rsid w:val="00992A0A"/>
    <w:rsid w:val="0099379F"/>
    <w:rsid w:val="009A0285"/>
    <w:rsid w:val="009A1F0C"/>
    <w:rsid w:val="009A2644"/>
    <w:rsid w:val="009A3B55"/>
    <w:rsid w:val="009A4D71"/>
    <w:rsid w:val="009A6091"/>
    <w:rsid w:val="009A68F0"/>
    <w:rsid w:val="009B1918"/>
    <w:rsid w:val="009B7740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753EA"/>
    <w:rsid w:val="00A818FD"/>
    <w:rsid w:val="00A8679E"/>
    <w:rsid w:val="00A90700"/>
    <w:rsid w:val="00A93B3D"/>
    <w:rsid w:val="00A969C4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3407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766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D00111"/>
    <w:rsid w:val="00D02672"/>
    <w:rsid w:val="00D0594D"/>
    <w:rsid w:val="00D06499"/>
    <w:rsid w:val="00D0751B"/>
    <w:rsid w:val="00D11DC9"/>
    <w:rsid w:val="00D145CB"/>
    <w:rsid w:val="00D20747"/>
    <w:rsid w:val="00D21135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3046"/>
    <w:rsid w:val="00D4348D"/>
    <w:rsid w:val="00D43757"/>
    <w:rsid w:val="00D43F86"/>
    <w:rsid w:val="00D4487C"/>
    <w:rsid w:val="00D45579"/>
    <w:rsid w:val="00D5047E"/>
    <w:rsid w:val="00D60178"/>
    <w:rsid w:val="00D61B20"/>
    <w:rsid w:val="00D61EF3"/>
    <w:rsid w:val="00D67FB3"/>
    <w:rsid w:val="00D72F44"/>
    <w:rsid w:val="00D8081C"/>
    <w:rsid w:val="00D810C8"/>
    <w:rsid w:val="00D86A3B"/>
    <w:rsid w:val="00D908C4"/>
    <w:rsid w:val="00D9177F"/>
    <w:rsid w:val="00D94E88"/>
    <w:rsid w:val="00D96B4E"/>
    <w:rsid w:val="00DA008D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4CEB"/>
    <w:rsid w:val="00E05665"/>
    <w:rsid w:val="00E05970"/>
    <w:rsid w:val="00E06ABD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1B77"/>
    <w:rsid w:val="00E33E84"/>
    <w:rsid w:val="00E342D3"/>
    <w:rsid w:val="00E34CD5"/>
    <w:rsid w:val="00E43763"/>
    <w:rsid w:val="00E43EC0"/>
    <w:rsid w:val="00E44727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7A87"/>
    <w:rsid w:val="00ED1EE9"/>
    <w:rsid w:val="00ED2995"/>
    <w:rsid w:val="00ED7697"/>
    <w:rsid w:val="00EE0C3E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6A5"/>
    <w:rsid w:val="00F92817"/>
    <w:rsid w:val="00F92E9E"/>
    <w:rsid w:val="00F96345"/>
    <w:rsid w:val="00F96514"/>
    <w:rsid w:val="00F975FC"/>
    <w:rsid w:val="00FA7E00"/>
    <w:rsid w:val="00FB0C88"/>
    <w:rsid w:val="00FB12D2"/>
    <w:rsid w:val="00FB31F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press/news/2079938-baltiyskiy-lizing-uluchshil-pokazateli-v-renkinge-agentstva-ekspert-ra/" TargetMode="External"/><Relationship Id="rId13" Type="http://schemas.openxmlformats.org/officeDocument/2006/relationships/hyperlink" Target="mailto:pr@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ltlea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tlease.ru/spec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ltlease.ru/press/news/2145971-baltiyskiy-lizing-voshel-v-top-3-roznichnykh-kompanii-otrasli-po-versii-federatsii-lizin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press/news/1968506-obem-novogo-biznesa-baltiyskogo-lizinga-po-itogam-devyati-mesyatsev-vyros-na-15-7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53028-3BB1-4F28-95F3-BE8E1B1D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488</cp:revision>
  <dcterms:created xsi:type="dcterms:W3CDTF">2018-07-26T07:30:00Z</dcterms:created>
  <dcterms:modified xsi:type="dcterms:W3CDTF">2021-01-14T06:47:00Z</dcterms:modified>
</cp:coreProperties>
</file>