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81FCA">
        <w:rPr>
          <w:rFonts w:ascii="Times New Roman" w:hAnsi="Times New Roman"/>
          <w:b/>
          <w:sz w:val="24"/>
          <w:szCs w:val="24"/>
        </w:rPr>
        <w:t xml:space="preserve">Бестселлеры </w:t>
      </w:r>
      <w:proofErr w:type="spellStart"/>
      <w:r w:rsidRPr="00781FCA">
        <w:rPr>
          <w:rFonts w:ascii="Times New Roman" w:hAnsi="Times New Roman"/>
          <w:b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b/>
          <w:sz w:val="24"/>
          <w:szCs w:val="24"/>
        </w:rPr>
        <w:t xml:space="preserve"> для клиентов «Балтийского лизинга» с выгодой до 90 000 рублей</w:t>
      </w:r>
    </w:p>
    <w:p w:rsidR="00781FCA" w:rsidRPr="00781FCA" w:rsidRDefault="00D0751B" w:rsidP="00781F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81FCA">
        <w:rPr>
          <w:rFonts w:ascii="Times New Roman" w:hAnsi="Times New Roman"/>
          <w:b/>
          <w:sz w:val="24"/>
          <w:szCs w:val="24"/>
        </w:rPr>
        <w:t>С</w:t>
      </w:r>
      <w:r w:rsidR="00763043" w:rsidRPr="00781FCA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781FCA" w:rsidRPr="00781FCA">
        <w:rPr>
          <w:rFonts w:ascii="Times New Roman" w:hAnsi="Times New Roman"/>
          <w:b/>
          <w:sz w:val="24"/>
          <w:szCs w:val="24"/>
        </w:rPr>
        <w:t>5</w:t>
      </w:r>
      <w:r w:rsidR="00D97000" w:rsidRPr="00781FCA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781FCA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781FCA">
        <w:rPr>
          <w:rFonts w:ascii="Times New Roman" w:hAnsi="Times New Roman"/>
          <w:b/>
          <w:sz w:val="24"/>
          <w:szCs w:val="24"/>
        </w:rPr>
        <w:t>2021</w:t>
      </w:r>
      <w:r w:rsidR="00763043" w:rsidRPr="00781FCA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781FCA">
        <w:rPr>
          <w:rFonts w:ascii="Times New Roman" w:hAnsi="Times New Roman"/>
          <w:b/>
          <w:sz w:val="24"/>
          <w:szCs w:val="24"/>
        </w:rPr>
        <w:t>.</w:t>
      </w:r>
      <w:r w:rsidR="00A701F0" w:rsidRPr="00781FCA">
        <w:rPr>
          <w:rFonts w:ascii="Times New Roman" w:hAnsi="Times New Roman"/>
          <w:sz w:val="24"/>
          <w:szCs w:val="24"/>
        </w:rPr>
        <w:t xml:space="preserve"> </w:t>
      </w:r>
      <w:r w:rsidR="00781FCA" w:rsidRPr="00781FCA">
        <w:rPr>
          <w:rFonts w:ascii="Times New Roman" w:hAnsi="Times New Roman"/>
          <w:sz w:val="24"/>
          <w:szCs w:val="24"/>
        </w:rPr>
        <w:t xml:space="preserve">«Балтийский лизинг» совместно с эксклюзивным дистрибьютором </w:t>
      </w:r>
      <w:proofErr w:type="spellStart"/>
      <w:r w:rsidR="00781FCA"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="00781FCA" w:rsidRPr="00781FCA">
        <w:rPr>
          <w:rFonts w:ascii="Times New Roman" w:hAnsi="Times New Roman"/>
          <w:sz w:val="24"/>
          <w:szCs w:val="24"/>
        </w:rPr>
        <w:t xml:space="preserve"> в России улучшил условия на приобретение автомобилей марки. В рамках специального предложения клиенты компании могут получить дополнительную выгоду до 90 000 рублей на модели бренда.</w:t>
      </w:r>
    </w:p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81FCA">
        <w:rPr>
          <w:rFonts w:ascii="Times New Roman" w:hAnsi="Times New Roman"/>
          <w:sz w:val="24"/>
          <w:szCs w:val="24"/>
        </w:rPr>
        <w:t xml:space="preserve">Так, участвуя в программе, клиенты могут приобрести </w:t>
      </w:r>
      <w:proofErr w:type="gramStart"/>
      <w:r w:rsidRPr="00781FCA">
        <w:rPr>
          <w:rFonts w:ascii="Times New Roman" w:hAnsi="Times New Roman"/>
          <w:sz w:val="24"/>
          <w:szCs w:val="24"/>
        </w:rPr>
        <w:t>интеллектуальный</w:t>
      </w:r>
      <w:proofErr w:type="gramEnd"/>
      <w:r w:rsidRPr="00781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FCA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 F7 или </w:t>
      </w:r>
      <w:proofErr w:type="spellStart"/>
      <w:r w:rsidRPr="00781FCA">
        <w:rPr>
          <w:rFonts w:ascii="Times New Roman" w:hAnsi="Times New Roman"/>
          <w:sz w:val="24"/>
          <w:szCs w:val="24"/>
        </w:rPr>
        <w:t>купе-кроссовер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F7х с выгодой 90 000 рублей. Также, согласно условиям </w:t>
      </w:r>
      <w:proofErr w:type="spellStart"/>
      <w:r w:rsidRPr="00781FCA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781FCA">
        <w:rPr>
          <w:rFonts w:ascii="Times New Roman" w:hAnsi="Times New Roman"/>
          <w:sz w:val="24"/>
          <w:szCs w:val="24"/>
        </w:rPr>
        <w:t>, скидка на флагманский внедорожник H9 составит 70 000 рублей.</w:t>
      </w:r>
    </w:p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81FCA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Pr="00781FCA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», в 2020 году российские дилеры </w:t>
      </w:r>
      <w:proofErr w:type="spellStart"/>
      <w:r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реализовали 17381 автомобиль, что на 41,5% больше по сравнению с 2019 годом. В результате </w:t>
      </w:r>
      <w:proofErr w:type="spellStart"/>
      <w:r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второй год подряд стал лидером по объему продаж </w:t>
      </w:r>
      <w:proofErr w:type="gramStart"/>
      <w:r w:rsidRPr="00781FCA">
        <w:rPr>
          <w:rFonts w:ascii="Times New Roman" w:hAnsi="Times New Roman"/>
          <w:sz w:val="24"/>
          <w:szCs w:val="24"/>
        </w:rPr>
        <w:t>среди</w:t>
      </w:r>
      <w:proofErr w:type="gramEnd"/>
      <w:r w:rsidRPr="00781FCA">
        <w:rPr>
          <w:rFonts w:ascii="Times New Roman" w:hAnsi="Times New Roman"/>
          <w:sz w:val="24"/>
          <w:szCs w:val="24"/>
        </w:rPr>
        <w:t xml:space="preserve"> китайских </w:t>
      </w:r>
      <w:proofErr w:type="spellStart"/>
      <w:r w:rsidRPr="00781FCA">
        <w:rPr>
          <w:rFonts w:ascii="Times New Roman" w:hAnsi="Times New Roman"/>
          <w:sz w:val="24"/>
          <w:szCs w:val="24"/>
        </w:rPr>
        <w:t>автопроизводителей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в России. Бестселлером </w:t>
      </w:r>
      <w:proofErr w:type="spellStart"/>
      <w:r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на рынке РФ в прошлом году стал </w:t>
      </w:r>
      <w:proofErr w:type="spellStart"/>
      <w:r w:rsidRPr="00781FCA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F7, чья реализация составила 6782 авто (рост в 2,1 раза). Второе по популярности место занял </w:t>
      </w:r>
      <w:proofErr w:type="spellStart"/>
      <w:r w:rsidRPr="00781FCA">
        <w:rPr>
          <w:rFonts w:ascii="Times New Roman" w:hAnsi="Times New Roman"/>
          <w:sz w:val="24"/>
          <w:szCs w:val="24"/>
        </w:rPr>
        <w:t>купе-кроссовер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F7х, </w:t>
      </w:r>
      <w:proofErr w:type="gramStart"/>
      <w:r w:rsidRPr="00781FCA">
        <w:rPr>
          <w:rFonts w:ascii="Times New Roman" w:hAnsi="Times New Roman"/>
          <w:sz w:val="24"/>
          <w:szCs w:val="24"/>
        </w:rPr>
        <w:t>который</w:t>
      </w:r>
      <w:proofErr w:type="gramEnd"/>
      <w:r w:rsidRPr="00781FCA">
        <w:rPr>
          <w:rFonts w:ascii="Times New Roman" w:hAnsi="Times New Roman"/>
          <w:sz w:val="24"/>
          <w:szCs w:val="24"/>
        </w:rPr>
        <w:t xml:space="preserve"> нашел 4417 владельцев против 477 годом ранее.</w:t>
      </w:r>
    </w:p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81FCA">
        <w:rPr>
          <w:rFonts w:ascii="Times New Roman" w:hAnsi="Times New Roman"/>
          <w:sz w:val="24"/>
          <w:szCs w:val="24"/>
        </w:rPr>
        <w:t xml:space="preserve">Отметим, что «Балтийский лизинг» включил автомобили марки </w:t>
      </w:r>
      <w:proofErr w:type="spellStart"/>
      <w:r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в список имущества, которое клиенты могут приобрести по упрощенной процедуре рассмотрения сделок. Для заключения договора требуется минимальный пакет документов и аванс от 15%. Сделка оформляется на срок от 12 до 36 месяцев, предварительное решение о финансировании принимается за один день. С помощью </w:t>
      </w:r>
      <w:hyperlink r:id="rId8" w:history="1">
        <w:r w:rsidRPr="00781FCA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781FCA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две минуты.</w:t>
      </w:r>
    </w:p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81FCA">
        <w:rPr>
          <w:rFonts w:ascii="Times New Roman" w:hAnsi="Times New Roman"/>
          <w:sz w:val="24"/>
          <w:szCs w:val="24"/>
        </w:rPr>
        <w:t xml:space="preserve">Быстро подобрать нужную модель </w:t>
      </w:r>
      <w:proofErr w:type="spellStart"/>
      <w:r w:rsidRPr="00781FCA">
        <w:rPr>
          <w:rFonts w:ascii="Times New Roman" w:hAnsi="Times New Roman"/>
          <w:sz w:val="24"/>
          <w:szCs w:val="24"/>
        </w:rPr>
        <w:t>Haval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 можно, пользуясь </w:t>
      </w:r>
      <w:hyperlink r:id="rId9" w:tooltip="Ссылка: https://baltlease.ru/catalog-light/" w:history="1">
        <w:r w:rsidRPr="00781FCA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781FCA">
        <w:rPr>
          <w:rFonts w:ascii="Times New Roman" w:hAnsi="Times New Roman"/>
          <w:sz w:val="24"/>
          <w:szCs w:val="24"/>
        </w:rPr>
        <w:t> 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</w:t>
      </w:r>
    </w:p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81FCA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781FCA">
        <w:rPr>
          <w:rFonts w:ascii="Times New Roman" w:hAnsi="Times New Roman"/>
          <w:sz w:val="24"/>
          <w:szCs w:val="24"/>
        </w:rPr>
        <w:t>ы ООО</w:t>
      </w:r>
      <w:proofErr w:type="gramEnd"/>
      <w:r w:rsidRPr="00781FCA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781FCA">
        <w:rPr>
          <w:rFonts w:ascii="Times New Roman" w:hAnsi="Times New Roman"/>
          <w:sz w:val="24"/>
          <w:szCs w:val="24"/>
        </w:rPr>
        <w:t>online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781FCA">
        <w:rPr>
          <w:rFonts w:ascii="Times New Roman" w:hAnsi="Times New Roman"/>
          <w:sz w:val="24"/>
          <w:szCs w:val="24"/>
        </w:rPr>
        <w:t>Диадок</w:t>
      </w:r>
      <w:proofErr w:type="spellEnd"/>
      <w:r w:rsidRPr="00781FCA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781FCA">
        <w:rPr>
          <w:rFonts w:ascii="Times New Roman" w:hAnsi="Times New Roman"/>
          <w:sz w:val="24"/>
          <w:szCs w:val="24"/>
        </w:rPr>
        <w:t>diadoc.ru</w:t>
      </w:r>
      <w:proofErr w:type="spellEnd"/>
      <w:r w:rsidRPr="00781FCA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</w:t>
      </w:r>
    </w:p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81FCA">
        <w:rPr>
          <w:rFonts w:ascii="Times New Roman" w:hAnsi="Times New Roman"/>
          <w:sz w:val="24"/>
          <w:szCs w:val="24"/>
        </w:rPr>
        <w:t>Также компания предлагает своим клиентам дополнительные услуги как в рамках финансового лизинга (карты помощи на дорогах, регистрация транспортного средства, РКО и др.), так и в рамках </w:t>
      </w:r>
      <w:hyperlink r:id="rId10" w:history="1">
        <w:r w:rsidRPr="00781FCA">
          <w:rPr>
            <w:rStyle w:val="a9"/>
            <w:rFonts w:ascii="Times New Roman" w:hAnsi="Times New Roman"/>
            <w:sz w:val="24"/>
            <w:szCs w:val="24"/>
          </w:rPr>
          <w:t>операционной аренды</w:t>
        </w:r>
      </w:hyperlink>
      <w:r w:rsidRPr="00781FCA">
        <w:rPr>
          <w:rFonts w:ascii="Times New Roman" w:hAnsi="Times New Roman"/>
          <w:sz w:val="24"/>
          <w:szCs w:val="24"/>
        </w:rPr>
        <w:t> (от страхования и ТО до шинного сервиса и платных парковок).</w:t>
      </w:r>
    </w:p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81FCA">
        <w:rPr>
          <w:rFonts w:ascii="Times New Roman" w:hAnsi="Times New Roman"/>
          <w:b/>
          <w:sz w:val="24"/>
          <w:szCs w:val="24"/>
        </w:rPr>
        <w:t>Справка: </w:t>
      </w:r>
    </w:p>
    <w:p w:rsidR="00781FCA" w:rsidRPr="00781FCA" w:rsidRDefault="00781FCA" w:rsidP="00781FCA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781FCA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781FCA">
        <w:rPr>
          <w:rFonts w:ascii="Times New Roman" w:hAnsi="Times New Roman"/>
        </w:rPr>
        <w:t xml:space="preserve"> лизинга. ООО «Балтийский лизинг». </w:t>
      </w:r>
    </w:p>
    <w:p w:rsidR="00AE6084" w:rsidRPr="0064059E" w:rsidRDefault="00BC47D2" w:rsidP="00781FCA">
      <w:pPr>
        <w:spacing w:before="240"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>2020 года. Компания образована в 1990 году</w:t>
      </w:r>
      <w:r w:rsidRPr="0053720C">
        <w:rPr>
          <w:rFonts w:ascii="Times New Roman" w:hAnsi="Times New Roman"/>
          <w:i/>
          <w:sz w:val="20"/>
          <w:szCs w:val="20"/>
        </w:rPr>
        <w:t xml:space="preserve">. 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С декабря 2018 года </w:t>
      </w:r>
      <w:r w:rsidR="00C25F82" w:rsidRPr="0053720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6F6F6"/>
        </w:rPr>
        <w:t>ПАО Банк «ФК Открытие»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 стал собственником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</w:rPr>
        <w:t xml:space="preserve"> 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ООО «Балтийский лизинг».</w:t>
      </w:r>
      <w:r w:rsidR="00C25F82">
        <w:rPr>
          <w:rFonts w:ascii="Arial" w:hAnsi="Arial" w:cs="Arial"/>
          <w:color w:val="2F2F2F"/>
          <w:sz w:val="23"/>
          <w:szCs w:val="23"/>
          <w:shd w:val="clear" w:color="auto" w:fill="F6F6F6"/>
        </w:rPr>
        <w:t xml:space="preserve"> </w:t>
      </w:r>
      <w:r w:rsidRPr="007715E4">
        <w:rPr>
          <w:rFonts w:ascii="Times New Roman" w:hAnsi="Times New Roman"/>
          <w:i/>
          <w:sz w:val="20"/>
          <w:szCs w:val="20"/>
        </w:rPr>
        <w:t>Основная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FA2B2A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F0" w:rsidRDefault="00A701F0" w:rsidP="007C7DE5">
      <w:r>
        <w:separator/>
      </w:r>
    </w:p>
  </w:endnote>
  <w:endnote w:type="continuationSeparator" w:id="0">
    <w:p w:rsidR="00A701F0" w:rsidRDefault="00A701F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F0" w:rsidRDefault="00A701F0" w:rsidP="007C7DE5">
      <w:r>
        <w:separator/>
      </w:r>
    </w:p>
  </w:footnote>
  <w:footnote w:type="continuationSeparator" w:id="0">
    <w:p w:rsidR="00A701F0" w:rsidRDefault="00A701F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F0" w:rsidRDefault="00A701F0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1F0" w:rsidRDefault="00A701F0">
    <w:pPr>
      <w:pStyle w:val="a3"/>
    </w:pPr>
  </w:p>
  <w:p w:rsidR="00A701F0" w:rsidRDefault="00A701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164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4B4F"/>
    <w:rsid w:val="003659B7"/>
    <w:rsid w:val="003710FB"/>
    <w:rsid w:val="003717C6"/>
    <w:rsid w:val="00372787"/>
    <w:rsid w:val="00373295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B71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5C4"/>
    <w:rsid w:val="006F7C41"/>
    <w:rsid w:val="00703E3A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1FCA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97000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leasing/operativ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979D-2C93-46D3-8E74-CB2D7571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501</cp:revision>
  <dcterms:created xsi:type="dcterms:W3CDTF">2018-07-26T07:30:00Z</dcterms:created>
  <dcterms:modified xsi:type="dcterms:W3CDTF">2021-02-05T09:21:00Z</dcterms:modified>
</cp:coreProperties>
</file>