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C41FA">
        <w:tc>
          <w:tcPr>
            <w:tcW w:w="5571" w:type="dxa"/>
            <w:shd w:val="clear" w:color="auto" w:fill="auto"/>
          </w:tcPr>
          <w:p w:rsidR="002C41FA" w:rsidRDefault="00B10CF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4135" cy="145415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400" cy="145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2C41FA" w:rsidRDefault="002C41FA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2C41FA" w:rsidRDefault="00F80F0E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B10CF7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2C41FA" w:rsidRDefault="002C41FA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05pt;height:114.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" filled="f" stroked="f" strokeweight=".5pt">
                      <v:textbox>
                        <w:txbxContent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2C41FA" w:rsidRDefault="002C41FA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2C41FA" w:rsidRDefault="00F80F0E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B10CF7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2C41FA" w:rsidRDefault="002C41FA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2" y="2310"/>
                      <wp:lineTo x="2808" y="3466"/>
                      <wp:lineTo x="1464" y="7359"/>
                      <wp:lineTo x="1600" y="15916"/>
                      <wp:lineTo x="3480" y="20195"/>
                      <wp:lineTo x="4017" y="20195"/>
                      <wp:lineTo x="5232" y="20195"/>
                      <wp:lineTo x="6440" y="20195"/>
                      <wp:lineTo x="15314" y="15532"/>
                      <wp:lineTo x="15314" y="14761"/>
                      <wp:lineTo x="18538" y="11638"/>
                      <wp:lineTo x="19618" y="10076"/>
                      <wp:lineTo x="18947" y="8536"/>
                      <wp:lineTo x="19747" y="7359"/>
                      <wp:lineTo x="17602" y="6204"/>
                      <wp:lineTo x="5632" y="2310"/>
                      <wp:lineTo x="3752" y="231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C41FA" w:rsidRDefault="002C41F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C41FA" w:rsidRDefault="002C41F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C41FA" w:rsidRDefault="002C41F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C41FA" w:rsidRDefault="00B10CF7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2C41FA" w:rsidRDefault="003607FE">
      <w:pPr>
        <w:spacing w:after="8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</w:t>
      </w:r>
      <w:r w:rsidR="00F80F0E">
        <w:rPr>
          <w:rFonts w:eastAsia="Rosatom"/>
          <w:b/>
          <w:color w:val="343433"/>
          <w:sz w:val="24"/>
          <w:szCs w:val="24"/>
        </w:rPr>
        <w:t>6</w:t>
      </w:r>
      <w:r w:rsidR="00B10CF7">
        <w:rPr>
          <w:rFonts w:eastAsia="Rosatom"/>
          <w:b/>
          <w:color w:val="343433"/>
          <w:sz w:val="24"/>
          <w:szCs w:val="24"/>
        </w:rPr>
        <w:t>.03.2021</w:t>
      </w:r>
    </w:p>
    <w:p w:rsidR="002C41FA" w:rsidRDefault="002C41FA">
      <w:pPr>
        <w:spacing w:after="80" w:line="218" w:lineRule="auto"/>
        <w:ind w:right="1503" w:hanging="11"/>
        <w:rPr>
          <w:rFonts w:eastAsia="Times New Roman"/>
          <w:b/>
          <w:sz w:val="24"/>
          <w:szCs w:val="24"/>
        </w:rPr>
      </w:pPr>
    </w:p>
    <w:p w:rsidR="00F80F0E" w:rsidRPr="00596C5A" w:rsidRDefault="00F80F0E" w:rsidP="00F80F0E">
      <w:pPr>
        <w:shd w:val="clear" w:color="auto" w:fill="FFFFFF"/>
        <w:spacing w:before="225" w:after="225" w:line="435" w:lineRule="atLeast"/>
        <w:rPr>
          <w:rFonts w:eastAsia="Times New Roman"/>
          <w:color w:val="333333"/>
          <w:sz w:val="32"/>
          <w:szCs w:val="32"/>
        </w:rPr>
      </w:pPr>
      <w:bookmarkStart w:id="0" w:name="_GoBack"/>
      <w:r w:rsidRPr="00596C5A">
        <w:rPr>
          <w:rFonts w:eastAsia="Times New Roman"/>
          <w:color w:val="333333"/>
          <w:sz w:val="32"/>
          <w:szCs w:val="32"/>
        </w:rPr>
        <w:t>Курская АЭС успешно прошла проверку на бережливость</w:t>
      </w:r>
    </w:p>
    <w:bookmarkEnd w:id="0"/>
    <w:p w:rsidR="00F80F0E" w:rsidRPr="00596C5A" w:rsidRDefault="00F80F0E" w:rsidP="00F80F0E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  <w:r w:rsidRPr="00596C5A">
        <w:rPr>
          <w:rFonts w:eastAsia="Times New Roman"/>
          <w:color w:val="333333"/>
        </w:rPr>
        <w:t>На Курской АЭС завершилась развивающая партнёрская проверка качества развёртывания Производственной системы «Росатом» (ПСР). ПСР - это культура бережливого производства и система непрерывного совершенствования процессов для обеспечения конкурентного преимущества на мировом уровне.</w:t>
      </w:r>
    </w:p>
    <w:p w:rsidR="00F80F0E" w:rsidRPr="00596C5A" w:rsidRDefault="00F80F0E" w:rsidP="00F80F0E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</w:p>
    <w:p w:rsidR="00F80F0E" w:rsidRPr="00596C5A" w:rsidRDefault="00F80F0E" w:rsidP="00F80F0E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  <w:r w:rsidRPr="00596C5A">
        <w:rPr>
          <w:rFonts w:eastAsia="Times New Roman"/>
          <w:color w:val="333333"/>
        </w:rPr>
        <w:t>По результатам проверки по всем 16 показателям станция получила зелёные метки - знаки отличного состояния. Предприятие подтвердило полученный по итогам 2018 года статус «Лидер ПСР». Это означает, что Курская АЭС обладает эталонными компетенциями, обеспечивающими ее эффективность, демонстрирует значительные улучшения и системную работу на производстве.</w:t>
      </w:r>
    </w:p>
    <w:p w:rsidR="00F80F0E" w:rsidRPr="00596C5A" w:rsidRDefault="00F80F0E" w:rsidP="00F80F0E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</w:p>
    <w:p w:rsidR="00F80F0E" w:rsidRPr="00596C5A" w:rsidRDefault="00F80F0E" w:rsidP="00F80F0E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  <w:r w:rsidRPr="00596C5A">
        <w:rPr>
          <w:rFonts w:eastAsia="Times New Roman"/>
          <w:color w:val="333333"/>
        </w:rPr>
        <w:t xml:space="preserve">В частности, эталонными являются процессы управления ресурсными характеристиками (УРХ) энергоблоков и управления сроками хранения и </w:t>
      </w:r>
      <w:proofErr w:type="spellStart"/>
      <w:r w:rsidRPr="00596C5A">
        <w:rPr>
          <w:rFonts w:eastAsia="Times New Roman"/>
          <w:color w:val="333333"/>
        </w:rPr>
        <w:t>переконсервации</w:t>
      </w:r>
      <w:proofErr w:type="spellEnd"/>
      <w:r w:rsidRPr="00596C5A">
        <w:rPr>
          <w:rFonts w:eastAsia="Times New Roman"/>
          <w:color w:val="333333"/>
        </w:rPr>
        <w:t xml:space="preserve"> товарно-материальных ценностей (ТМЦ). Эти процессы признаны ПСР-образцами, т.е. образцами внедрения и применения инструментов ПСР. </w:t>
      </w:r>
    </w:p>
    <w:p w:rsidR="00F80F0E" w:rsidRPr="00596C5A" w:rsidRDefault="00F80F0E" w:rsidP="00F80F0E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</w:p>
    <w:p w:rsidR="00F80F0E" w:rsidRPr="00596C5A" w:rsidRDefault="00F80F0E" w:rsidP="00F80F0E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  <w:r w:rsidRPr="00596C5A">
        <w:rPr>
          <w:rFonts w:eastAsia="Times New Roman"/>
          <w:color w:val="333333"/>
        </w:rPr>
        <w:t>В ходе проверки подтверждены более 20 лучших практик. Среди них внедрение новых установок и механизмов, планирование работ на плато ректора в формате «карусели» для эффективного распределения рабочего пространства, при</w:t>
      </w:r>
      <w:r w:rsidRPr="00F80F0E">
        <w:rPr>
          <w:rFonts w:eastAsia="Times New Roman"/>
          <w:color w:val="333333"/>
        </w:rPr>
        <w:t xml:space="preserve">менение информационной системы </w:t>
      </w:r>
      <w:proofErr w:type="spellStart"/>
      <w:r w:rsidRPr="00596C5A">
        <w:rPr>
          <w:rFonts w:eastAsia="Times New Roman"/>
          <w:color w:val="333333"/>
        </w:rPr>
        <w:t>GraphiteSnack</w:t>
      </w:r>
      <w:proofErr w:type="spellEnd"/>
      <w:r w:rsidRPr="00596C5A">
        <w:rPr>
          <w:rFonts w:eastAsia="Times New Roman"/>
          <w:color w:val="333333"/>
        </w:rPr>
        <w:t xml:space="preserve"> для визуализации процесса УРХ и другие. </w:t>
      </w:r>
    </w:p>
    <w:p w:rsidR="00F80F0E" w:rsidRPr="00596C5A" w:rsidRDefault="00F80F0E" w:rsidP="00F80F0E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</w:p>
    <w:p w:rsidR="00F80F0E" w:rsidRPr="00F80F0E" w:rsidRDefault="00F80F0E" w:rsidP="00F80F0E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  <w:r w:rsidRPr="00596C5A">
        <w:rPr>
          <w:rFonts w:eastAsia="Times New Roman"/>
          <w:color w:val="333333"/>
        </w:rPr>
        <w:t>Отмечены также лучшие практики на строящихся объектах Курской АЭС-2 - обеспечение синхронизации процесса оформления заявок на ТМЦ с графиком поставок в зону монтажа, контроль показателя «сдача работ с первого предъявления», применение метода зонирования для размещения материалов в местах временного хранения и прочие.</w:t>
      </w:r>
    </w:p>
    <w:p w:rsidR="00F80F0E" w:rsidRPr="00596C5A" w:rsidRDefault="00F80F0E" w:rsidP="00F80F0E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</w:p>
    <w:p w:rsidR="00F80F0E" w:rsidRPr="00F80F0E" w:rsidRDefault="00F80F0E" w:rsidP="00F80F0E">
      <w:pPr>
        <w:jc w:val="both"/>
      </w:pPr>
      <w:r w:rsidRPr="00F80F0E">
        <w:rPr>
          <w:color w:val="333333"/>
          <w:shd w:val="clear" w:color="auto" w:fill="FFFFFF"/>
        </w:rPr>
        <w:t xml:space="preserve">Как сообщил заместитель главного инженера по производственно-техническому обеспечению и качеству Курской АЭС Александр Семченко, в 2020 году на станции было реализовано 37 ПСР-проектов. Применение бережливых технологий позволило увеличить объем выработки электроэнергии практически на 1 млрд </w:t>
      </w:r>
      <w:proofErr w:type="spellStart"/>
      <w:r w:rsidRPr="00F80F0E">
        <w:rPr>
          <w:color w:val="333333"/>
          <w:shd w:val="clear" w:color="auto" w:fill="FFFFFF"/>
        </w:rPr>
        <w:t>кВтч</w:t>
      </w:r>
      <w:proofErr w:type="spellEnd"/>
      <w:r w:rsidRPr="00F80F0E">
        <w:rPr>
          <w:color w:val="333333"/>
          <w:shd w:val="clear" w:color="auto" w:fill="FFFFFF"/>
        </w:rPr>
        <w:t xml:space="preserve"> и сократить время протекания производственных процессов на 325 суток.</w:t>
      </w:r>
    </w:p>
    <w:p w:rsidR="002C41FA" w:rsidRDefault="00B10CF7" w:rsidP="003607FE">
      <w:pPr>
        <w:spacing w:before="100" w:beforeAutospacing="1" w:after="100" w:afterAutospacing="1"/>
        <w:jc w:val="right"/>
        <w:rPr>
          <w:b/>
          <w:color w:val="404040" w:themeColor="text1" w:themeTint="BF"/>
          <w:sz w:val="24"/>
          <w:szCs w:val="24"/>
        </w:rPr>
      </w:pPr>
      <w:r w:rsidRPr="00B10CF7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2C41FA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FA"/>
    <w:rsid w:val="002C41FA"/>
    <w:rsid w:val="003607FE"/>
    <w:rsid w:val="00B10CF7"/>
    <w:rsid w:val="00CA60AB"/>
    <w:rsid w:val="00F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1E035-4B61-4439-9944-5DF2F629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2</cp:revision>
  <cp:lastPrinted>2021-03-10T08:33:00Z</cp:lastPrinted>
  <dcterms:created xsi:type="dcterms:W3CDTF">2021-03-26T13:26:00Z</dcterms:created>
  <dcterms:modified xsi:type="dcterms:W3CDTF">2021-03-26T13:26:00Z</dcterms:modified>
  <dc:language>ru-RU</dc:language>
</cp:coreProperties>
</file>