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6F1805" w:rsidRPr="00AD391B" w:rsidTr="00947EB3">
        <w:tc>
          <w:tcPr>
            <w:tcW w:w="4785" w:type="dxa"/>
            <w:shd w:val="clear" w:color="auto" w:fill="auto"/>
          </w:tcPr>
          <w:p w:rsidR="006F1805" w:rsidRPr="002261EE" w:rsidRDefault="006F1805" w:rsidP="00947EB3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C5753B3" wp14:editId="4D32E998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6F1805" w:rsidRDefault="006F1805" w:rsidP="006F180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9F2552" w:rsidRPr="006F1805" w:rsidRDefault="00072B98" w:rsidP="006F1805">
      <w:pPr>
        <w:spacing w:after="0" w:line="240" w:lineRule="auto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072B98">
        <w:rPr>
          <w:rFonts w:ascii="Cambria" w:hAnsi="Cambria"/>
          <w:b/>
          <w:color w:val="1F497D"/>
          <w:sz w:val="28"/>
          <w:szCs w:val="28"/>
        </w:rPr>
        <w:t>Эксперт АИОР: сильный вуз, сильные программы</w:t>
      </w:r>
    </w:p>
    <w:p w:rsidR="006F1805" w:rsidRDefault="006F1805" w:rsidP="00373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:rsidR="009668E4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Десять инженерных образовательных программ Тольяттинского государственного университета (ТГУ) рекомендованы к профессионально-общественной аккредитации Ассоциацией инженерного образования России (АИОР). Об этом сообщили члены аккредитационной экспертной комиссии АИОР на заседании, которое прошло в ТГУ в режиме видеоконференции.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АИОР – полноправный член Европейской сети по аккредитации инженерного образования (ENAEE) и Вашингтонского соглашения (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val="en-US" w:eastAsia="ru-RU"/>
        </w:rPr>
        <w:t>AW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)*. Аккредитация образовательных программ вузов Ассоциацией инженерного образования России официально признаётся на международном уровне. Выпускники получают сертификат, дающий им право на международный престижный статус «Профессиональный инженер». Впервые ТГУ аккредитовал в АИОР пять образовательных программ в марте 2016 года. Аккредитация действует в течение пяти лет.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2021 году на профессиональную общественную аккредитацию АИОР было заявлено уже 10 образовательных программ Тольяттинского госуниверситета. Комиссия работала с 24 по 27 мая и по итогам своей работы сообщила, что будет рекомендовать к профессионально-общественной аккредитации</w:t>
      </w:r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 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АИОР все 10 образовательных программ.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proofErr w:type="gramStart"/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– Отчёты по самообследованию были в целом подготовлены качественно, представители структурных подразделений всё достаточно хорошо рассказали,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все программы нам понравились</w:t>
      </w:r>
      <w:proofErr w:type="gramEnd"/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, 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сказал председатель аккредитационной комиссии </w:t>
      </w:r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Владислав </w:t>
      </w:r>
      <w:proofErr w:type="spellStart"/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Бибик</w:t>
      </w:r>
      <w:proofErr w:type="spellEnd"/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. 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Университет имеет хорошую материально-техническую базу, оснащение аудиторий и лабораторий современное и адекватно целям основных образовательных программ.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У студентов ТГУ есть возможность для самостоятельной исследовательской работы, а работодатели сотрудничают с университетом как на уровне организации практики и трудоустройства, так и на уровне формирования и реализации основных образовательных программ.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Отдельно Владислав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Бибик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отметил участие студентов в проектной деятельности, (где красной линией проходит лучшая в РФ команда 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Togliatti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Racing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Team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 единственный трёхкратный по</w:t>
      </w:r>
      <w:r w:rsidR="0037098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бедитель соревнований «Формула С</w:t>
      </w:r>
      <w:bookmarkStart w:id="0" w:name="_GoBack"/>
      <w:bookmarkEnd w:id="0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тудент Россия»), Центр машиностроения и интересные кейсы со сквозными практиками, большое количество иностранных студентов – и это несмотря на нешуточную конкуренцию с другими вузами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Эксперт АИОР </w:t>
      </w:r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Татьяна Руденко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, более детально изучавшая образовательную программу «Экологический инжиниринг и аудит», высоко оценила проработанность учебного плана и наполнение его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практикоориентированными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дисциплинами, а также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вовлечённость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в образовательный процесс партнёров вуза.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Мы пообщались с представителями компаний разных отраслей, которые участвуют в производственной практике – они очень хорошо отзываются о студентах и выпускниках, об уровне их знаний и навыков. В частности, прозвучала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lastRenderedPageBreak/>
        <w:t>фраза, что не было ни одного студента, который не мог выполнять производственные задачи,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 подчеркнула Татьяна Руденко.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Также эксперты отметили научную библиотеку вуза, которая содержит все необходимые для обучения материалы.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––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В целом всё хорошо. Есть хорошая база для практики – АВТОВАЗ и другие крупные предприятия. Они обеспечивают занятость выпускников, которых, в свою очередь удовлетворяет уровень зарплаты. </w:t>
      </w:r>
      <w:proofErr w:type="gramStart"/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Студенты очень мотивированы, и видно, что им нравится учиться в ТГУ</w:t>
      </w:r>
      <w:proofErr w:type="gramEnd"/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, 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сказал эксперт АИОР </w:t>
      </w:r>
      <w:r w:rsidRPr="00072B98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Алексей Гаврилюк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– Вуз сильный, динамично развивающийся, недаром он опорный</w:t>
      </w: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Разумеется, были у членов комиссии и замечания. В частности, опорному вузу рекомендовали усилить языковую подготовку, а по окончании пандемии активнее развивать зарубежную академическую мобильность студентов. Работа экспертов позволит Тольяттинскому госуниверситету сформировать план корректирующих действий и воплотить его в жизнь.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proofErr w:type="gram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</w:t>
      </w:r>
      <w:r w:rsidR="00370987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Мы дважды лауреаты Премии П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равительства РФ в области качества, и сейчас модель премии является концепцией постоянного улучшения</w:t>
      </w:r>
      <w:proofErr w:type="gram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, – сказал ректор ТГУ Михаил Криштал. – 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Мы обязаны постоянно сами себя контролировать, строить гипотезы, внедрять новое и проверять, насколько гипотеза себя оправдала, вносить корректирующие действия… И это непрерывно, это цикл. Но самому себя не всегда удаётся проконтролировать. Тогда мы зовём эксперта со стороны, смотрим его глазами, и возникает момент истины: что ещ</w:t>
      </w:r>
      <w:r w:rsidR="00F8496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ё</w:t>
      </w:r>
      <w:r w:rsidRPr="00072B98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не так, что нужно исправить. 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Образовательные программы ТГУ, рекомендованные к аккредитации АИОР: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09.03.03 Прикладная информатика (направленность (профиль) «Разработка социальных и экономических информационных систем»);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09.04.03 Прикладная информатика («Управление корпоративными информационными процессами»);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13.04.02 Электроэнергетика и электротехника («Техническое и информационное обеспечение интеллектуальных систем электроснабжения»);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15.04.01 Машиностроение («Эксплуатация транспортных средств»);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18.04.01 Химическая технология («Химия и технология продуктов основного органического и нефтехимического синтеза»);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18.04.01 Химическая технология («Рациональное использование природных и сырьевых ресурсов в химической технологии и нефтехимии»);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20.03.01 Техносферная безопасность («Безопасность технологических процессов и производств»);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20.04.01 Техносферная безопасность («Экологический инжиниринг и аудит»);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20.04.01 Техносферная безопасность («Аудит комплексной безопасности в промышленности»); 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– 22.04.01 Материаловедение и технологии материалов («Инжиниринг перспективных материалов и диагностика поведения материалов в изделиях»).</w:t>
      </w: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072B98" w:rsidRPr="00072B98" w:rsidRDefault="00072B98" w:rsidP="00072B9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*АИОР – единственное российское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аккредитационное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агентство в ENAEE. В состав ENAEE входит 20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аккредитационных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агентств из Евросоюза (11 стран), России, Турции и Швейцарии. Участниками Вашингтонского соглашения являются ведущие </w:t>
      </w:r>
      <w:proofErr w:type="spellStart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072B9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агентства Австралии, Канады, Ирландии, Новой Зеландии, США, Великобритании, Китая, Пакистана, Китайского Тайбэя, Гонконга, Индии, Японии, Кореи, Малайзии, России, Сингапура, ЮАР, Шри-Ланки, Турции и Перу.</w:t>
      </w:r>
    </w:p>
    <w:p w:rsidR="00A664D5" w:rsidRPr="00A664D5" w:rsidRDefault="00A664D5" w:rsidP="002B628D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736B4" w:rsidRPr="006F1805" w:rsidRDefault="003736B4" w:rsidP="00C23732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sectPr w:rsidR="003736B4" w:rsidRPr="006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52"/>
    <w:rsid w:val="00072B98"/>
    <w:rsid w:val="002B628D"/>
    <w:rsid w:val="00367BC4"/>
    <w:rsid w:val="00370987"/>
    <w:rsid w:val="003736B4"/>
    <w:rsid w:val="003A1BAE"/>
    <w:rsid w:val="00560478"/>
    <w:rsid w:val="005F68CD"/>
    <w:rsid w:val="006F1805"/>
    <w:rsid w:val="009556B0"/>
    <w:rsid w:val="009668E4"/>
    <w:rsid w:val="00997C37"/>
    <w:rsid w:val="009B68FB"/>
    <w:rsid w:val="009F2552"/>
    <w:rsid w:val="00A664D5"/>
    <w:rsid w:val="00B705A7"/>
    <w:rsid w:val="00C23732"/>
    <w:rsid w:val="00D3557A"/>
    <w:rsid w:val="00E16E31"/>
    <w:rsid w:val="00EC65BE"/>
    <w:rsid w:val="00EC7CD7"/>
    <w:rsid w:val="00F84968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062"/>
  <w15:docId w15:val="{7D6BA956-9A40-4993-9FFF-20C898D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4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2021-05-31T10:41:00Z</dcterms:created>
  <dcterms:modified xsi:type="dcterms:W3CDTF">2021-06-01T04:30:00Z</dcterms:modified>
</cp:coreProperties>
</file>