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5"/>
      </w:tblGrid>
      <w:tr w:rsidR="007F453B" w:rsidRPr="00AD391B" w:rsidTr="00961474">
        <w:tc>
          <w:tcPr>
            <w:tcW w:w="4785" w:type="dxa"/>
            <w:shd w:val="clear" w:color="auto" w:fill="auto"/>
          </w:tcPr>
          <w:p w:rsidR="007F453B" w:rsidRPr="002261EE" w:rsidRDefault="007F453B" w:rsidP="00961474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63DFAF06" wp14:editId="174A53D9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7F453B" w:rsidRPr="008334D7" w:rsidRDefault="007F453B" w:rsidP="00961474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7F453B" w:rsidRPr="008334D7" w:rsidRDefault="007F453B" w:rsidP="00961474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7F453B" w:rsidRPr="008334D7" w:rsidRDefault="007F453B" w:rsidP="00961474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7F453B" w:rsidRPr="008334D7" w:rsidRDefault="007F453B" w:rsidP="00961474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7F453B" w:rsidRPr="008334D7" w:rsidRDefault="007F453B" w:rsidP="00961474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7F453B" w:rsidRDefault="007F453B" w:rsidP="007F4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9DB" w:rsidRPr="000F63F9" w:rsidRDefault="00495093" w:rsidP="007F453B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7F453B">
        <w:rPr>
          <w:rFonts w:ascii="Cambria" w:hAnsi="Cambria"/>
          <w:b/>
          <w:color w:val="1F497D"/>
          <w:sz w:val="28"/>
          <w:szCs w:val="28"/>
        </w:rPr>
        <w:t xml:space="preserve">Учёные из Тольятти доказали: </w:t>
      </w:r>
      <w:r w:rsidR="008809DB" w:rsidRPr="007F453B">
        <w:rPr>
          <w:rFonts w:ascii="Cambria" w:hAnsi="Cambria"/>
          <w:b/>
          <w:color w:val="1F497D"/>
          <w:sz w:val="28"/>
          <w:szCs w:val="28"/>
        </w:rPr>
        <w:t xml:space="preserve">водород </w:t>
      </w:r>
      <w:r w:rsidR="004309EB" w:rsidRPr="007F453B">
        <w:rPr>
          <w:rFonts w:ascii="Cambria" w:hAnsi="Cambria"/>
          <w:b/>
          <w:color w:val="1F497D"/>
          <w:sz w:val="28"/>
          <w:szCs w:val="28"/>
        </w:rPr>
        <w:t xml:space="preserve">не </w:t>
      </w:r>
      <w:r w:rsidR="00FF0CC3" w:rsidRPr="007F453B">
        <w:rPr>
          <w:rFonts w:ascii="Cambria" w:hAnsi="Cambria"/>
          <w:b/>
          <w:color w:val="1F497D"/>
          <w:sz w:val="28"/>
          <w:szCs w:val="28"/>
        </w:rPr>
        <w:t>делает сталь хрупкой</w:t>
      </w:r>
    </w:p>
    <w:p w:rsidR="008809DB" w:rsidRDefault="008809DB" w:rsidP="008809D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8809DB" w:rsidRPr="007F453B" w:rsidRDefault="00C44693" w:rsidP="00495093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7F453B">
        <w:rPr>
          <w:rFonts w:ascii="Cambria" w:hAnsi="Cambria" w:cs="Times New Roman"/>
          <w:b/>
          <w:sz w:val="24"/>
        </w:rPr>
        <w:t xml:space="preserve">Команда учёных опорного </w:t>
      </w:r>
      <w:r w:rsidR="00FD6F15" w:rsidRPr="007F453B">
        <w:rPr>
          <w:rFonts w:ascii="Cambria" w:hAnsi="Cambria" w:cs="Times New Roman"/>
          <w:b/>
          <w:sz w:val="24"/>
        </w:rPr>
        <w:t>Тольяттинского госуниверситета</w:t>
      </w:r>
      <w:r w:rsidRPr="007F453B">
        <w:rPr>
          <w:rFonts w:ascii="Cambria" w:hAnsi="Cambria" w:cs="Times New Roman"/>
          <w:b/>
          <w:sz w:val="24"/>
        </w:rPr>
        <w:t xml:space="preserve"> под руководством старшего научного сотрудника </w:t>
      </w:r>
      <w:r w:rsidR="00026B26" w:rsidRPr="007F453B">
        <w:rPr>
          <w:rFonts w:ascii="Cambria" w:hAnsi="Cambria" w:cs="Times New Roman"/>
          <w:b/>
          <w:sz w:val="24"/>
        </w:rPr>
        <w:t>научно-исследовательского института прогрессивных технологий ТГУ Евгени</w:t>
      </w:r>
      <w:r w:rsidR="003A603C" w:rsidRPr="007F453B">
        <w:rPr>
          <w:rFonts w:ascii="Cambria" w:hAnsi="Cambria" w:cs="Times New Roman"/>
          <w:b/>
          <w:sz w:val="24"/>
        </w:rPr>
        <w:t>я</w:t>
      </w:r>
      <w:r w:rsidR="000F63F9" w:rsidRPr="007F453B">
        <w:rPr>
          <w:rFonts w:ascii="Cambria" w:hAnsi="Cambria" w:cs="Times New Roman"/>
          <w:b/>
          <w:sz w:val="24"/>
        </w:rPr>
        <w:t xml:space="preserve"> </w:t>
      </w:r>
      <w:proofErr w:type="spellStart"/>
      <w:r w:rsidR="000F63F9" w:rsidRPr="007F453B">
        <w:rPr>
          <w:rFonts w:ascii="Cambria" w:hAnsi="Cambria" w:cs="Times New Roman"/>
          <w:b/>
          <w:sz w:val="24"/>
        </w:rPr>
        <w:t>Мерсон</w:t>
      </w:r>
      <w:r w:rsidR="003A603C" w:rsidRPr="007F453B">
        <w:rPr>
          <w:rFonts w:ascii="Cambria" w:hAnsi="Cambria" w:cs="Times New Roman"/>
          <w:b/>
          <w:sz w:val="24"/>
        </w:rPr>
        <w:t>а</w:t>
      </w:r>
      <w:proofErr w:type="spellEnd"/>
      <w:r w:rsidR="000F63F9" w:rsidRPr="007F453B">
        <w:rPr>
          <w:rFonts w:ascii="Cambria" w:hAnsi="Cambria" w:cs="Times New Roman"/>
          <w:b/>
          <w:sz w:val="24"/>
        </w:rPr>
        <w:t xml:space="preserve"> </w:t>
      </w:r>
      <w:r w:rsidR="00B42DF2" w:rsidRPr="007F453B">
        <w:rPr>
          <w:rFonts w:ascii="Cambria" w:hAnsi="Cambria" w:cs="Times New Roman"/>
          <w:b/>
          <w:sz w:val="24"/>
        </w:rPr>
        <w:t>провела</w:t>
      </w:r>
      <w:r w:rsidR="00BC447F" w:rsidRPr="007F453B">
        <w:rPr>
          <w:rFonts w:ascii="Cambria" w:hAnsi="Cambria" w:cs="Times New Roman"/>
          <w:b/>
          <w:sz w:val="24"/>
        </w:rPr>
        <w:t xml:space="preserve"> уникальный эксперимент, направленный на изучение прочности и пластичности сталей под воздействием водорода</w:t>
      </w:r>
      <w:r w:rsidR="00B42DF2" w:rsidRPr="007F453B">
        <w:rPr>
          <w:rFonts w:ascii="Cambria" w:hAnsi="Cambria" w:cs="Times New Roman"/>
          <w:b/>
          <w:sz w:val="24"/>
        </w:rPr>
        <w:t>.</w:t>
      </w:r>
      <w:r w:rsidR="006D5D33" w:rsidRPr="007F453B">
        <w:rPr>
          <w:rFonts w:ascii="Cambria" w:hAnsi="Cambria" w:cs="Times New Roman"/>
          <w:b/>
          <w:sz w:val="24"/>
        </w:rPr>
        <w:t xml:space="preserve"> </w:t>
      </w:r>
      <w:r w:rsidR="008809DB" w:rsidRPr="007F453B">
        <w:rPr>
          <w:rFonts w:ascii="Cambria" w:hAnsi="Cambria" w:cs="Times New Roman"/>
          <w:b/>
          <w:sz w:val="24"/>
        </w:rPr>
        <w:t xml:space="preserve">Тольяттинские учёные доказали: </w:t>
      </w:r>
      <w:r w:rsidR="00495093" w:rsidRPr="007F453B">
        <w:rPr>
          <w:rFonts w:ascii="Cambria" w:hAnsi="Cambria" w:cs="Times New Roman"/>
          <w:b/>
          <w:sz w:val="24"/>
        </w:rPr>
        <w:t>разрушения</w:t>
      </w:r>
      <w:r w:rsidR="001830B1" w:rsidRPr="007F453B">
        <w:rPr>
          <w:rFonts w:ascii="Cambria" w:hAnsi="Cambria" w:cs="Times New Roman"/>
          <w:b/>
          <w:sz w:val="24"/>
        </w:rPr>
        <w:t xml:space="preserve"> </w:t>
      </w:r>
      <w:r w:rsidR="00495093" w:rsidRPr="007F453B">
        <w:rPr>
          <w:rFonts w:ascii="Cambria" w:hAnsi="Cambria" w:cs="Times New Roman"/>
          <w:b/>
          <w:sz w:val="24"/>
        </w:rPr>
        <w:t>под действием водорода и в результате классического ни</w:t>
      </w:r>
      <w:r w:rsidR="00237229">
        <w:rPr>
          <w:rFonts w:ascii="Cambria" w:hAnsi="Cambria" w:cs="Times New Roman"/>
          <w:b/>
          <w:sz w:val="24"/>
        </w:rPr>
        <w:t xml:space="preserve">зкотемпературного </w:t>
      </w:r>
      <w:proofErr w:type="spellStart"/>
      <w:r w:rsidR="00237229">
        <w:rPr>
          <w:rFonts w:ascii="Cambria" w:hAnsi="Cambria" w:cs="Times New Roman"/>
          <w:b/>
          <w:sz w:val="24"/>
        </w:rPr>
        <w:t>охрупчивания</w:t>
      </w:r>
      <w:proofErr w:type="spellEnd"/>
      <w:r w:rsidR="00237229">
        <w:rPr>
          <w:rFonts w:ascii="Cambria" w:hAnsi="Cambria" w:cs="Times New Roman"/>
          <w:b/>
          <w:sz w:val="24"/>
        </w:rPr>
        <w:t xml:space="preserve"> </w:t>
      </w:r>
      <w:r w:rsidR="00495093" w:rsidRPr="007F453B">
        <w:rPr>
          <w:rFonts w:ascii="Cambria" w:hAnsi="Cambria" w:cs="Times New Roman"/>
          <w:b/>
          <w:sz w:val="24"/>
        </w:rPr>
        <w:t>принципиально отличаются друг от друга.</w:t>
      </w:r>
    </w:p>
    <w:bookmarkEnd w:id="0"/>
    <w:p w:rsidR="0048304A" w:rsidRPr="007F453B" w:rsidRDefault="0048304A" w:rsidP="00AE1893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</w:p>
    <w:p w:rsidR="004E3438" w:rsidRPr="007F453B" w:rsidRDefault="00495093" w:rsidP="001F63E5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F453B">
        <w:rPr>
          <w:rFonts w:ascii="Cambria" w:hAnsi="Cambria" w:cs="Times New Roman"/>
          <w:sz w:val="24"/>
        </w:rPr>
        <w:t>Хрупкое разруше</w:t>
      </w:r>
      <w:r w:rsidR="001F6053" w:rsidRPr="007F453B">
        <w:rPr>
          <w:rFonts w:ascii="Cambria" w:hAnsi="Cambria" w:cs="Times New Roman"/>
          <w:sz w:val="24"/>
        </w:rPr>
        <w:t>ние металлов – коварное физическое явление. О</w:t>
      </w:r>
      <w:r w:rsidRPr="007F453B">
        <w:rPr>
          <w:rFonts w:ascii="Cambria" w:hAnsi="Cambria" w:cs="Times New Roman"/>
          <w:sz w:val="24"/>
        </w:rPr>
        <w:t>но не сопровождается внешней деформацией и изменением формы</w:t>
      </w:r>
      <w:r w:rsidR="001F6053" w:rsidRPr="007F453B">
        <w:rPr>
          <w:rFonts w:ascii="Cambria" w:hAnsi="Cambria" w:cs="Times New Roman"/>
          <w:sz w:val="24"/>
        </w:rPr>
        <w:t>, поэтому н</w:t>
      </w:r>
      <w:r w:rsidRPr="007F453B">
        <w:rPr>
          <w:rFonts w:ascii="Cambria" w:hAnsi="Cambria" w:cs="Times New Roman"/>
          <w:sz w:val="24"/>
        </w:rPr>
        <w:t xml:space="preserve">ачало хрупкого разрушения по внешним признакам обнаружить тяжело. </w:t>
      </w:r>
      <w:r w:rsidR="008809DB" w:rsidRPr="007F453B">
        <w:rPr>
          <w:rFonts w:ascii="Cambria" w:hAnsi="Cambria" w:cs="Times New Roman"/>
          <w:sz w:val="24"/>
        </w:rPr>
        <w:t xml:space="preserve">Водородная хрупкость </w:t>
      </w:r>
      <w:r w:rsidRPr="007F453B">
        <w:rPr>
          <w:rFonts w:ascii="Cambria" w:hAnsi="Cambria" w:cs="Times New Roman"/>
          <w:sz w:val="24"/>
        </w:rPr>
        <w:t xml:space="preserve">металлов </w:t>
      </w:r>
      <w:r w:rsidR="008809DB" w:rsidRPr="007F453B">
        <w:rPr>
          <w:rFonts w:ascii="Cambria" w:hAnsi="Cambria" w:cs="Times New Roman"/>
          <w:sz w:val="24"/>
        </w:rPr>
        <w:t xml:space="preserve">– </w:t>
      </w:r>
      <w:r w:rsidR="004E3438" w:rsidRPr="007F453B">
        <w:rPr>
          <w:rFonts w:ascii="Cambria" w:hAnsi="Cambria" w:cs="Times New Roman"/>
          <w:sz w:val="24"/>
        </w:rPr>
        <w:t>одна из разновидностей опасного хрупкого разрушения</w:t>
      </w:r>
      <w:r w:rsidR="008809DB" w:rsidRPr="007F453B">
        <w:rPr>
          <w:rFonts w:ascii="Cambria" w:hAnsi="Cambria" w:cs="Times New Roman"/>
          <w:sz w:val="24"/>
        </w:rPr>
        <w:t>,</w:t>
      </w:r>
      <w:r w:rsidR="004E3438" w:rsidRPr="007F453B">
        <w:rPr>
          <w:rFonts w:ascii="Cambria" w:hAnsi="Cambria" w:cs="Times New Roman"/>
          <w:sz w:val="24"/>
        </w:rPr>
        <w:t xml:space="preserve"> вызывающая</w:t>
      </w:r>
      <w:r w:rsidR="008809DB" w:rsidRPr="007F453B">
        <w:rPr>
          <w:rFonts w:ascii="Cambria" w:hAnsi="Cambria" w:cs="Times New Roman"/>
          <w:sz w:val="24"/>
        </w:rPr>
        <w:t xml:space="preserve"> ухудшение механических свойств и приводящ</w:t>
      </w:r>
      <w:r w:rsidR="004E3438" w:rsidRPr="007F453B">
        <w:rPr>
          <w:rFonts w:ascii="Cambria" w:hAnsi="Cambria" w:cs="Times New Roman"/>
          <w:sz w:val="24"/>
        </w:rPr>
        <w:t xml:space="preserve">ая </w:t>
      </w:r>
      <w:r w:rsidR="008809DB" w:rsidRPr="007F453B">
        <w:rPr>
          <w:rFonts w:ascii="Cambria" w:hAnsi="Cambria" w:cs="Times New Roman"/>
          <w:sz w:val="24"/>
        </w:rPr>
        <w:t xml:space="preserve">к внезапным отказам металлических компонентов. </w:t>
      </w:r>
      <w:r w:rsidR="001F6053" w:rsidRPr="007F453B">
        <w:rPr>
          <w:rFonts w:ascii="Cambria" w:hAnsi="Cambria" w:cs="Times New Roman"/>
          <w:sz w:val="24"/>
        </w:rPr>
        <w:t xml:space="preserve">Падению прочности и пластичности под воздействием водорода </w:t>
      </w:r>
      <w:r w:rsidR="008809DB" w:rsidRPr="007F453B">
        <w:rPr>
          <w:rFonts w:ascii="Cambria" w:hAnsi="Cambria" w:cs="Times New Roman"/>
          <w:sz w:val="24"/>
        </w:rPr>
        <w:t xml:space="preserve">подвержены большинство конструкционных металлов и сплавов, взаимодействующих с </w:t>
      </w:r>
      <w:r w:rsidR="004E3438" w:rsidRPr="007F453B">
        <w:rPr>
          <w:rFonts w:ascii="Cambria" w:hAnsi="Cambria" w:cs="Times New Roman"/>
          <w:sz w:val="24"/>
        </w:rPr>
        <w:t xml:space="preserve">ним. </w:t>
      </w:r>
    </w:p>
    <w:p w:rsidR="004E3438" w:rsidRPr="007F453B" w:rsidRDefault="004E3438" w:rsidP="001F63E5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F453B">
        <w:rPr>
          <w:rFonts w:ascii="Cambria" w:hAnsi="Cambria"/>
          <w:color w:val="000000"/>
          <w:sz w:val="27"/>
          <w:szCs w:val="27"/>
        </w:rPr>
        <w:t xml:space="preserve">– </w:t>
      </w:r>
      <w:r w:rsidRPr="007F453B">
        <w:rPr>
          <w:rFonts w:ascii="Cambria" w:hAnsi="Cambria" w:cs="Times New Roman"/>
          <w:i/>
          <w:sz w:val="24"/>
        </w:rPr>
        <w:t xml:space="preserve">В настоящий момент </w:t>
      </w:r>
      <w:r w:rsidR="00546D16" w:rsidRPr="007F453B">
        <w:rPr>
          <w:rFonts w:ascii="Cambria" w:hAnsi="Cambria" w:cs="Times New Roman"/>
          <w:i/>
          <w:sz w:val="24"/>
        </w:rPr>
        <w:t xml:space="preserve">истинный механизм </w:t>
      </w:r>
      <w:r w:rsidR="00FF0CC3" w:rsidRPr="007F453B">
        <w:rPr>
          <w:rFonts w:ascii="Cambria" w:hAnsi="Cambria" w:cs="Times New Roman"/>
          <w:i/>
          <w:sz w:val="24"/>
        </w:rPr>
        <w:t xml:space="preserve">водородной хрупкости </w:t>
      </w:r>
      <w:r w:rsidR="00546D16" w:rsidRPr="007F453B">
        <w:rPr>
          <w:rFonts w:ascii="Cambria" w:hAnsi="Cambria" w:cs="Times New Roman"/>
          <w:i/>
          <w:sz w:val="24"/>
        </w:rPr>
        <w:t>остается неизвестным</w:t>
      </w:r>
      <w:r w:rsidR="00546D16" w:rsidRPr="007F453B">
        <w:rPr>
          <w:rFonts w:ascii="Cambria" w:hAnsi="Cambria" w:cs="Times New Roman"/>
          <w:sz w:val="24"/>
        </w:rPr>
        <w:t xml:space="preserve">. </w:t>
      </w:r>
      <w:r w:rsidR="00546D16" w:rsidRPr="007F453B">
        <w:rPr>
          <w:rFonts w:ascii="Cambria" w:hAnsi="Cambria" w:cs="Times New Roman"/>
          <w:i/>
          <w:sz w:val="24"/>
        </w:rPr>
        <w:t>В</w:t>
      </w:r>
      <w:r w:rsidRPr="007F453B">
        <w:rPr>
          <w:rFonts w:ascii="Cambria" w:hAnsi="Cambria" w:cs="Times New Roman"/>
          <w:i/>
          <w:sz w:val="24"/>
        </w:rPr>
        <w:t xml:space="preserve"> научном сообществе </w:t>
      </w:r>
      <w:r w:rsidR="00546D16" w:rsidRPr="007F453B">
        <w:rPr>
          <w:rFonts w:ascii="Cambria" w:hAnsi="Cambria" w:cs="Times New Roman"/>
          <w:i/>
          <w:sz w:val="24"/>
        </w:rPr>
        <w:t xml:space="preserve">на этот счет </w:t>
      </w:r>
      <w:r w:rsidRPr="007F453B">
        <w:rPr>
          <w:rFonts w:ascii="Cambria" w:hAnsi="Cambria" w:cs="Times New Roman"/>
          <w:i/>
          <w:sz w:val="24"/>
        </w:rPr>
        <w:t xml:space="preserve">существует два принципиально разных мнения. Согласно одной точке зрения, водород провоцирует хрупкое разрушение. Такое же разрушение происходит, например, когда металл становится хрупким под действием низких температур, </w:t>
      </w:r>
      <w:r w:rsidRPr="007F453B">
        <w:rPr>
          <w:rFonts w:ascii="Cambria" w:hAnsi="Cambria" w:cs="Times New Roman"/>
          <w:sz w:val="24"/>
        </w:rPr>
        <w:t xml:space="preserve">– поясняет Евгений </w:t>
      </w:r>
      <w:proofErr w:type="spellStart"/>
      <w:r w:rsidRPr="007F453B">
        <w:rPr>
          <w:rFonts w:ascii="Cambria" w:hAnsi="Cambria" w:cs="Times New Roman"/>
          <w:sz w:val="24"/>
        </w:rPr>
        <w:t>Мерсон</w:t>
      </w:r>
      <w:proofErr w:type="spellEnd"/>
      <w:r w:rsidRPr="007F453B">
        <w:rPr>
          <w:rFonts w:ascii="Cambria" w:hAnsi="Cambria" w:cs="Times New Roman"/>
          <w:sz w:val="24"/>
        </w:rPr>
        <w:t xml:space="preserve">. </w:t>
      </w:r>
      <w:r w:rsidRPr="007F453B">
        <w:rPr>
          <w:rFonts w:ascii="Cambria" w:hAnsi="Cambria" w:cs="Times New Roman"/>
          <w:i/>
          <w:sz w:val="24"/>
        </w:rPr>
        <w:t xml:space="preserve">– Есть и противоположное мнение: на самом деле водород в микрообъеме не </w:t>
      </w:r>
      <w:proofErr w:type="spellStart"/>
      <w:r w:rsidRPr="007F453B">
        <w:rPr>
          <w:rFonts w:ascii="Cambria" w:hAnsi="Cambria" w:cs="Times New Roman"/>
          <w:i/>
          <w:sz w:val="24"/>
        </w:rPr>
        <w:t>охрупчивает</w:t>
      </w:r>
      <w:proofErr w:type="spellEnd"/>
      <w:r w:rsidRPr="007F453B">
        <w:rPr>
          <w:rFonts w:ascii="Cambria" w:hAnsi="Cambria" w:cs="Times New Roman"/>
          <w:i/>
          <w:sz w:val="24"/>
        </w:rPr>
        <w:t>, а наоборот пластифицирует материал, и на микроскопическом уровне рост трещин с участием водорода происходит, скорее, по вязкому механизму.</w:t>
      </w:r>
    </w:p>
    <w:p w:rsidR="001D0714" w:rsidRDefault="001D0714" w:rsidP="00AE1893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1D0714">
        <w:rPr>
          <w:rFonts w:ascii="Cambria" w:hAnsi="Cambria" w:cs="Times New Roman"/>
          <w:sz w:val="24"/>
        </w:rPr>
        <w:t>В связи с этим тольяттинские учёные выдвинули гипотезу: есл</w:t>
      </w:r>
      <w:r>
        <w:rPr>
          <w:rFonts w:ascii="Cambria" w:hAnsi="Cambria" w:cs="Times New Roman"/>
          <w:sz w:val="24"/>
        </w:rPr>
        <w:t>и при низких температурах без на</w:t>
      </w:r>
      <w:r w:rsidRPr="001D0714">
        <w:rPr>
          <w:rFonts w:ascii="Cambria" w:hAnsi="Cambria" w:cs="Times New Roman"/>
          <w:sz w:val="24"/>
        </w:rPr>
        <w:t>сыщения материала водородом и после насыщения, приводящего к водородн</w:t>
      </w:r>
      <w:r>
        <w:rPr>
          <w:rFonts w:ascii="Cambria" w:hAnsi="Cambria" w:cs="Times New Roman"/>
          <w:sz w:val="24"/>
        </w:rPr>
        <w:t>о</w:t>
      </w:r>
      <w:r w:rsidRPr="001D0714">
        <w:rPr>
          <w:rFonts w:ascii="Cambria" w:hAnsi="Cambria" w:cs="Times New Roman"/>
          <w:sz w:val="24"/>
        </w:rPr>
        <w:t>й хрупкости, механизм разрушения образцов одинаковый, то поверхность разрушения и путь трещин относительно микроструктуры стали в этих двух случаях должны также иметь одинаковые признаки.</w:t>
      </w:r>
    </w:p>
    <w:p w:rsidR="0048304A" w:rsidRPr="007F453B" w:rsidRDefault="0048304A" w:rsidP="00AE1893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7F453B">
        <w:rPr>
          <w:rFonts w:ascii="Cambria" w:hAnsi="Cambria" w:cs="Times New Roman"/>
          <w:sz w:val="24"/>
        </w:rPr>
        <w:t xml:space="preserve">– </w:t>
      </w:r>
      <w:r w:rsidRPr="007F453B">
        <w:rPr>
          <w:rFonts w:ascii="Cambria" w:hAnsi="Cambria" w:cs="Times New Roman"/>
          <w:i/>
          <w:sz w:val="24"/>
        </w:rPr>
        <w:t xml:space="preserve">Чтобы это проверить мы взяли образцы чистого железа, сплава железо-кремний (Fe-2.5%Si) и низкоуглеродистой стали. Каждый образец растягивали в разрывной машине и одновременно насыщали водородом, под действием которого на поверхности начинали расти трещины. Затем эти же образцы быстро доламывали в жидком азоте, провоцируя истинно хрупкое разрушение. В финале эксперимента исследовали поверхности разрушения образцов с применением нашей уникальной методики количественного </w:t>
      </w:r>
      <w:proofErr w:type="spellStart"/>
      <w:r w:rsidRPr="007F453B">
        <w:rPr>
          <w:rFonts w:ascii="Cambria" w:hAnsi="Cambria" w:cs="Times New Roman"/>
          <w:i/>
          <w:sz w:val="24"/>
        </w:rPr>
        <w:t>фрактографического</w:t>
      </w:r>
      <w:proofErr w:type="spellEnd"/>
      <w:r w:rsidRPr="007F453B">
        <w:rPr>
          <w:rFonts w:ascii="Cambria" w:hAnsi="Cambria" w:cs="Times New Roman"/>
          <w:i/>
          <w:sz w:val="24"/>
        </w:rPr>
        <w:t xml:space="preserve"> анализа, – </w:t>
      </w:r>
      <w:r w:rsidRPr="007F453B">
        <w:rPr>
          <w:rFonts w:ascii="Cambria" w:hAnsi="Cambria" w:cs="Times New Roman"/>
          <w:sz w:val="24"/>
        </w:rPr>
        <w:t xml:space="preserve">рассказал Евгений </w:t>
      </w:r>
      <w:proofErr w:type="spellStart"/>
      <w:r w:rsidRPr="007F453B">
        <w:rPr>
          <w:rFonts w:ascii="Cambria" w:hAnsi="Cambria" w:cs="Times New Roman"/>
          <w:sz w:val="24"/>
        </w:rPr>
        <w:t>Мерсон</w:t>
      </w:r>
      <w:proofErr w:type="spellEnd"/>
      <w:r w:rsidRPr="007F453B">
        <w:rPr>
          <w:rFonts w:ascii="Cambria" w:hAnsi="Cambria" w:cs="Times New Roman"/>
          <w:sz w:val="24"/>
        </w:rPr>
        <w:t xml:space="preserve">. </w:t>
      </w:r>
    </w:p>
    <w:p w:rsidR="001F63E5" w:rsidRPr="007F453B" w:rsidRDefault="001F63E5" w:rsidP="008809DB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F453B">
        <w:rPr>
          <w:rFonts w:ascii="Cambria" w:hAnsi="Cambria" w:cs="Times New Roman"/>
          <w:sz w:val="24"/>
        </w:rPr>
        <w:t xml:space="preserve">В итоге сотрудники НИИПТ ТГУ установили, а также количественно и качественно подтвердили: участки поверхности разрушения, образованные под </w:t>
      </w:r>
      <w:r w:rsidRPr="007F453B">
        <w:rPr>
          <w:rFonts w:ascii="Cambria" w:hAnsi="Cambria" w:cs="Times New Roman"/>
          <w:sz w:val="24"/>
        </w:rPr>
        <w:lastRenderedPageBreak/>
        <w:t xml:space="preserve">действием водорода и в результате </w:t>
      </w:r>
      <w:r w:rsidR="008809DB" w:rsidRPr="007F453B">
        <w:rPr>
          <w:rFonts w:ascii="Cambria" w:hAnsi="Cambria" w:cs="Times New Roman"/>
          <w:sz w:val="24"/>
        </w:rPr>
        <w:t xml:space="preserve">классического </w:t>
      </w:r>
      <w:r w:rsidRPr="007F453B">
        <w:rPr>
          <w:rFonts w:ascii="Cambria" w:hAnsi="Cambria" w:cs="Times New Roman"/>
          <w:sz w:val="24"/>
        </w:rPr>
        <w:t xml:space="preserve">низкотемпературного </w:t>
      </w:r>
      <w:proofErr w:type="spellStart"/>
      <w:r w:rsidRPr="007F453B">
        <w:rPr>
          <w:rFonts w:ascii="Cambria" w:hAnsi="Cambria" w:cs="Times New Roman"/>
          <w:sz w:val="24"/>
        </w:rPr>
        <w:t>охрупчивания</w:t>
      </w:r>
      <w:proofErr w:type="spellEnd"/>
      <w:r w:rsidRPr="007F453B">
        <w:rPr>
          <w:rFonts w:ascii="Cambria" w:hAnsi="Cambria" w:cs="Times New Roman"/>
          <w:sz w:val="24"/>
        </w:rPr>
        <w:t>, принципиально отличаются друг от друга.</w:t>
      </w:r>
      <w:r w:rsidR="008809DB" w:rsidRPr="007F453B">
        <w:rPr>
          <w:rFonts w:ascii="Cambria" w:hAnsi="Cambria" w:cs="Times New Roman"/>
          <w:i/>
          <w:sz w:val="24"/>
        </w:rPr>
        <w:t xml:space="preserve"> «В дальнейших наших исследованиях мы попытаемся проверить, действительно ли водород стимулирует вязкое разрушение</w:t>
      </w:r>
      <w:r w:rsidR="00495093" w:rsidRPr="007F453B">
        <w:rPr>
          <w:rFonts w:ascii="Cambria" w:hAnsi="Cambria" w:cs="Times New Roman"/>
          <w:i/>
          <w:sz w:val="24"/>
        </w:rPr>
        <w:t xml:space="preserve"> металла</w:t>
      </w:r>
      <w:r w:rsidR="008809DB" w:rsidRPr="007F453B">
        <w:rPr>
          <w:rFonts w:ascii="Cambria" w:hAnsi="Cambria" w:cs="Times New Roman"/>
          <w:i/>
          <w:sz w:val="24"/>
        </w:rPr>
        <w:t xml:space="preserve">», – </w:t>
      </w:r>
      <w:r w:rsidR="008809DB" w:rsidRPr="007F453B">
        <w:rPr>
          <w:rFonts w:ascii="Cambria" w:hAnsi="Cambria" w:cs="Times New Roman"/>
          <w:sz w:val="24"/>
        </w:rPr>
        <w:t xml:space="preserve">добавляет Евгений </w:t>
      </w:r>
      <w:proofErr w:type="spellStart"/>
      <w:r w:rsidR="008809DB" w:rsidRPr="007F453B">
        <w:rPr>
          <w:rFonts w:ascii="Cambria" w:hAnsi="Cambria" w:cs="Times New Roman"/>
          <w:sz w:val="24"/>
        </w:rPr>
        <w:t>Мерсон</w:t>
      </w:r>
      <w:proofErr w:type="spellEnd"/>
      <w:r w:rsidR="008809DB" w:rsidRPr="007F453B">
        <w:rPr>
          <w:rFonts w:ascii="Cambria" w:hAnsi="Cambria" w:cs="Times New Roman"/>
          <w:sz w:val="24"/>
        </w:rPr>
        <w:t>.</w:t>
      </w:r>
    </w:p>
    <w:p w:rsidR="00873BD6" w:rsidRPr="007F453B" w:rsidRDefault="004C128F" w:rsidP="00873BD6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F453B">
        <w:rPr>
          <w:rFonts w:ascii="Cambria" w:hAnsi="Cambria" w:cs="Times New Roman"/>
          <w:sz w:val="24"/>
        </w:rPr>
        <w:t>Р</w:t>
      </w:r>
      <w:r w:rsidR="00DE2A78" w:rsidRPr="007F453B">
        <w:rPr>
          <w:rFonts w:ascii="Cambria" w:hAnsi="Cambria" w:cs="Times New Roman"/>
          <w:sz w:val="24"/>
        </w:rPr>
        <w:t xml:space="preserve">азработка сталей, устойчивых к </w:t>
      </w:r>
      <w:r w:rsidR="00FF0CC3" w:rsidRPr="007F453B">
        <w:rPr>
          <w:rFonts w:ascii="Cambria" w:hAnsi="Cambria" w:cs="Times New Roman"/>
          <w:sz w:val="24"/>
        </w:rPr>
        <w:t>водородной хрупкости</w:t>
      </w:r>
      <w:r w:rsidR="00873BD6" w:rsidRPr="007F453B">
        <w:rPr>
          <w:rFonts w:ascii="Cambria" w:hAnsi="Cambria" w:cs="Times New Roman"/>
          <w:sz w:val="24"/>
        </w:rPr>
        <w:t xml:space="preserve">, актуальна для всех сфер, где </w:t>
      </w:r>
      <w:r w:rsidR="00412DF1" w:rsidRPr="007F453B">
        <w:rPr>
          <w:rFonts w:ascii="Cambria" w:hAnsi="Cambria" w:cs="Times New Roman"/>
          <w:sz w:val="24"/>
        </w:rPr>
        <w:t xml:space="preserve">они </w:t>
      </w:r>
      <w:r w:rsidR="00873BD6" w:rsidRPr="007F453B">
        <w:rPr>
          <w:rFonts w:ascii="Cambria" w:hAnsi="Cambria" w:cs="Times New Roman"/>
          <w:sz w:val="24"/>
        </w:rPr>
        <w:t>использу</w:t>
      </w:r>
      <w:r w:rsidR="00412DF1" w:rsidRPr="007F453B">
        <w:rPr>
          <w:rFonts w:ascii="Cambria" w:hAnsi="Cambria" w:cs="Times New Roman"/>
          <w:sz w:val="24"/>
        </w:rPr>
        <w:t xml:space="preserve">ются </w:t>
      </w:r>
      <w:r w:rsidR="00873BD6" w:rsidRPr="007F453B">
        <w:rPr>
          <w:rFonts w:ascii="Cambria" w:hAnsi="Cambria" w:cs="Times New Roman"/>
          <w:sz w:val="24"/>
        </w:rPr>
        <w:t>в конструкционных решениях и подвержен</w:t>
      </w:r>
      <w:r w:rsidR="00412DF1" w:rsidRPr="007F453B">
        <w:rPr>
          <w:rFonts w:ascii="Cambria" w:hAnsi="Cambria" w:cs="Times New Roman"/>
          <w:sz w:val="24"/>
        </w:rPr>
        <w:t>ы</w:t>
      </w:r>
      <w:r w:rsidR="00873BD6" w:rsidRPr="007F453B">
        <w:rPr>
          <w:rFonts w:ascii="Cambria" w:hAnsi="Cambria" w:cs="Times New Roman"/>
          <w:sz w:val="24"/>
        </w:rPr>
        <w:t xml:space="preserve"> исключительно высокому риску разрушения под действием водородосодержащих сред.</w:t>
      </w:r>
    </w:p>
    <w:p w:rsidR="00873BD6" w:rsidRPr="007F453B" w:rsidRDefault="00873BD6" w:rsidP="00873BD6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7F453B">
        <w:rPr>
          <w:rFonts w:ascii="Cambria" w:hAnsi="Cambria" w:cs="Times New Roman"/>
          <w:sz w:val="24"/>
        </w:rPr>
        <w:t xml:space="preserve">В первую очередь, это </w:t>
      </w:r>
      <w:r w:rsidR="00C934DB" w:rsidRPr="007F453B">
        <w:rPr>
          <w:rFonts w:ascii="Cambria" w:hAnsi="Cambria" w:cs="Times New Roman"/>
          <w:sz w:val="24"/>
        </w:rPr>
        <w:t>активно развивающ</w:t>
      </w:r>
      <w:r w:rsidRPr="007F453B">
        <w:rPr>
          <w:rFonts w:ascii="Cambria" w:hAnsi="Cambria" w:cs="Times New Roman"/>
          <w:sz w:val="24"/>
        </w:rPr>
        <w:t xml:space="preserve">аяся </w:t>
      </w:r>
      <w:r w:rsidR="008809DB" w:rsidRPr="007F453B">
        <w:rPr>
          <w:rFonts w:ascii="Cambria" w:hAnsi="Cambria" w:cs="Times New Roman"/>
          <w:sz w:val="24"/>
        </w:rPr>
        <w:t>водородн</w:t>
      </w:r>
      <w:r w:rsidR="00412DF1" w:rsidRPr="007F453B">
        <w:rPr>
          <w:rFonts w:ascii="Cambria" w:hAnsi="Cambria" w:cs="Times New Roman"/>
          <w:sz w:val="24"/>
        </w:rPr>
        <w:t>ая энергетик</w:t>
      </w:r>
      <w:r w:rsidR="001F6053" w:rsidRPr="007F453B">
        <w:rPr>
          <w:rFonts w:ascii="Cambria" w:hAnsi="Cambria" w:cs="Times New Roman"/>
          <w:sz w:val="24"/>
        </w:rPr>
        <w:t>а</w:t>
      </w:r>
      <w:r w:rsidR="00412DF1" w:rsidRPr="007F453B">
        <w:rPr>
          <w:rFonts w:ascii="Cambria" w:hAnsi="Cambria" w:cs="Times New Roman"/>
          <w:sz w:val="24"/>
        </w:rPr>
        <w:t xml:space="preserve"> с разработкой установок </w:t>
      </w:r>
      <w:r w:rsidRPr="007F453B">
        <w:rPr>
          <w:rFonts w:ascii="Cambria" w:hAnsi="Cambria" w:cs="Times New Roman"/>
          <w:sz w:val="24"/>
        </w:rPr>
        <w:t xml:space="preserve">генерации водорода, а также технологий и оборудования для хранения и использования водорода для распределённой и автономной энергетики. </w:t>
      </w:r>
      <w:r w:rsidR="00412DF1" w:rsidRPr="007F453B">
        <w:rPr>
          <w:rFonts w:ascii="Cambria" w:hAnsi="Cambria" w:cs="Times New Roman"/>
          <w:sz w:val="24"/>
        </w:rPr>
        <w:t xml:space="preserve">Именно этим занимаются участники </w:t>
      </w:r>
      <w:r w:rsidRPr="007F453B">
        <w:rPr>
          <w:rFonts w:ascii="Cambria" w:hAnsi="Cambria" w:cs="Times New Roman"/>
          <w:sz w:val="24"/>
        </w:rPr>
        <w:t xml:space="preserve">консорциума «Водородная энергетика», инициированного Тольяттинским госуниверситетом, которые объединились с целью </w:t>
      </w:r>
      <w:r w:rsidR="008809DB" w:rsidRPr="007F453B">
        <w:rPr>
          <w:rFonts w:ascii="Cambria" w:hAnsi="Cambria" w:cs="Times New Roman"/>
          <w:sz w:val="24"/>
        </w:rPr>
        <w:t xml:space="preserve">ускорения вывода на рынок инновационных продуктов </w:t>
      </w:r>
      <w:r w:rsidRPr="007F453B">
        <w:rPr>
          <w:rFonts w:ascii="Cambria" w:hAnsi="Cambria" w:cs="Times New Roman"/>
          <w:sz w:val="24"/>
        </w:rPr>
        <w:t>на базе водородных технологий.</w:t>
      </w:r>
    </w:p>
    <w:p w:rsidR="003B0A88" w:rsidRPr="001D0714" w:rsidRDefault="003B0A88" w:rsidP="00412DF1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1D0714">
        <w:rPr>
          <w:rFonts w:ascii="Cambria" w:hAnsi="Cambria" w:cs="Times New Roman"/>
          <w:sz w:val="24"/>
        </w:rPr>
        <w:t>Стоит подчеркнуть, что водородная тематика является одной из ключевых для НОЦ мирового уровня «Инженерия будущего», в частности с участием ТГУ реализуется проект по «Долгосрочному хранению водорода для альтернативной энергетики».</w:t>
      </w:r>
    </w:p>
    <w:p w:rsidR="003B0A88" w:rsidRPr="001D0714" w:rsidRDefault="00412DF1" w:rsidP="00412DF1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1D0714">
        <w:rPr>
          <w:rFonts w:ascii="Cambria" w:hAnsi="Cambria" w:cs="Times New Roman"/>
          <w:sz w:val="24"/>
        </w:rPr>
        <w:t>Добавим, что р</w:t>
      </w:r>
      <w:r w:rsidR="00873BD6" w:rsidRPr="001D0714">
        <w:rPr>
          <w:rFonts w:ascii="Cambria" w:hAnsi="Cambria" w:cs="Times New Roman"/>
          <w:sz w:val="24"/>
        </w:rPr>
        <w:t xml:space="preserve">езультаты исследования </w:t>
      </w:r>
      <w:r w:rsidR="00FF0CC3" w:rsidRPr="001D0714">
        <w:rPr>
          <w:rFonts w:ascii="Cambria" w:hAnsi="Cambria" w:cs="Times New Roman"/>
          <w:sz w:val="24"/>
        </w:rPr>
        <w:t>водородной хрупкости</w:t>
      </w:r>
      <w:r w:rsidRPr="001D0714">
        <w:rPr>
          <w:rFonts w:ascii="Cambria" w:hAnsi="Cambria" w:cs="Times New Roman"/>
          <w:sz w:val="24"/>
        </w:rPr>
        <w:t xml:space="preserve"> </w:t>
      </w:r>
      <w:r w:rsidR="00873BD6" w:rsidRPr="001D0714">
        <w:rPr>
          <w:rFonts w:ascii="Cambria" w:hAnsi="Cambria" w:cs="Times New Roman"/>
          <w:sz w:val="24"/>
        </w:rPr>
        <w:t>учёны</w:t>
      </w:r>
      <w:r w:rsidRPr="001D0714">
        <w:rPr>
          <w:rFonts w:ascii="Cambria" w:hAnsi="Cambria" w:cs="Times New Roman"/>
          <w:sz w:val="24"/>
        </w:rPr>
        <w:t xml:space="preserve">ми опорного ТГУ </w:t>
      </w:r>
      <w:r w:rsidR="001F6053" w:rsidRPr="001D0714">
        <w:rPr>
          <w:rFonts w:ascii="Cambria" w:hAnsi="Cambria" w:cs="Times New Roman"/>
          <w:sz w:val="24"/>
        </w:rPr>
        <w:t xml:space="preserve">также </w:t>
      </w:r>
      <w:r w:rsidR="00873BD6" w:rsidRPr="001D0714">
        <w:rPr>
          <w:rFonts w:ascii="Cambria" w:hAnsi="Cambria" w:cs="Times New Roman"/>
          <w:sz w:val="24"/>
        </w:rPr>
        <w:t>пригодятся</w:t>
      </w:r>
      <w:r w:rsidRPr="001D0714">
        <w:rPr>
          <w:rFonts w:ascii="Cambria" w:hAnsi="Cambria" w:cs="Times New Roman"/>
          <w:sz w:val="24"/>
        </w:rPr>
        <w:t xml:space="preserve"> </w:t>
      </w:r>
      <w:r w:rsidR="00873BD6" w:rsidRPr="001D0714">
        <w:rPr>
          <w:rFonts w:ascii="Cambria" w:hAnsi="Cambria" w:cs="Times New Roman"/>
          <w:sz w:val="24"/>
        </w:rPr>
        <w:t xml:space="preserve">в </w:t>
      </w:r>
      <w:r w:rsidR="00DE2A78" w:rsidRPr="001D0714">
        <w:rPr>
          <w:rFonts w:ascii="Cambria" w:hAnsi="Cambria" w:cs="Times New Roman"/>
          <w:sz w:val="24"/>
        </w:rPr>
        <w:t xml:space="preserve">нефтегазовой, </w:t>
      </w:r>
      <w:r w:rsidR="00C934DB" w:rsidRPr="001D0714">
        <w:rPr>
          <w:rFonts w:ascii="Cambria" w:hAnsi="Cambria" w:cs="Times New Roman"/>
          <w:sz w:val="24"/>
        </w:rPr>
        <w:t>химической</w:t>
      </w:r>
      <w:r w:rsidR="004C128F" w:rsidRPr="001D0714">
        <w:rPr>
          <w:rFonts w:ascii="Cambria" w:hAnsi="Cambria" w:cs="Times New Roman"/>
          <w:sz w:val="24"/>
        </w:rPr>
        <w:t xml:space="preserve"> и </w:t>
      </w:r>
      <w:r w:rsidR="00C934DB" w:rsidRPr="001D0714">
        <w:rPr>
          <w:rFonts w:ascii="Cambria" w:hAnsi="Cambria" w:cs="Times New Roman"/>
          <w:sz w:val="24"/>
        </w:rPr>
        <w:t xml:space="preserve">атомной </w:t>
      </w:r>
      <w:r w:rsidR="001F6053" w:rsidRPr="001D0714">
        <w:rPr>
          <w:rFonts w:ascii="Cambria" w:hAnsi="Cambria" w:cs="Times New Roman"/>
          <w:sz w:val="24"/>
        </w:rPr>
        <w:t xml:space="preserve">отраслях </w:t>
      </w:r>
      <w:r w:rsidR="00873BD6" w:rsidRPr="001D0714">
        <w:rPr>
          <w:rFonts w:ascii="Cambria" w:hAnsi="Cambria" w:cs="Times New Roman"/>
          <w:sz w:val="24"/>
        </w:rPr>
        <w:t>промышленности.</w:t>
      </w:r>
      <w:r w:rsidRPr="001D0714">
        <w:rPr>
          <w:rFonts w:ascii="Cambria" w:hAnsi="Cambria" w:cs="Times New Roman"/>
          <w:sz w:val="24"/>
        </w:rPr>
        <w:t xml:space="preserve"> Данные эксперимента в перспективе могут быть использованы при разработке физико-математических моделей для расчёта долговечности стальных изделий, работающих в условиях риска развития водородно</w:t>
      </w:r>
      <w:r w:rsidR="001F6053" w:rsidRPr="001D0714">
        <w:rPr>
          <w:rFonts w:ascii="Cambria" w:hAnsi="Cambria" w:cs="Times New Roman"/>
          <w:sz w:val="24"/>
        </w:rPr>
        <w:t>й</w:t>
      </w:r>
      <w:r w:rsidRPr="001D0714">
        <w:rPr>
          <w:rFonts w:ascii="Cambria" w:hAnsi="Cambria" w:cs="Times New Roman"/>
          <w:sz w:val="24"/>
        </w:rPr>
        <w:t xml:space="preserve"> хрупкости, а также при разработке сталей устойчивых к </w:t>
      </w:r>
      <w:r w:rsidR="00FF0CC3" w:rsidRPr="001D0714">
        <w:rPr>
          <w:rFonts w:ascii="Cambria" w:hAnsi="Cambria" w:cs="Times New Roman"/>
          <w:sz w:val="24"/>
        </w:rPr>
        <w:t>водородной хрупкости</w:t>
      </w:r>
      <w:r w:rsidRPr="001D0714">
        <w:rPr>
          <w:rFonts w:ascii="Cambria" w:hAnsi="Cambria" w:cs="Times New Roman"/>
          <w:sz w:val="24"/>
        </w:rPr>
        <w:t>.</w:t>
      </w:r>
    </w:p>
    <w:p w:rsidR="003B0A88" w:rsidRDefault="003B0A88" w:rsidP="00412DF1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1D0714">
        <w:rPr>
          <w:rFonts w:ascii="Cambria" w:hAnsi="Cambria" w:cs="Times New Roman"/>
          <w:sz w:val="24"/>
        </w:rPr>
        <w:t xml:space="preserve">Наряду с вопросами получения водорода, насыщения им жидкого носителя, технологии хранения и транспортировки, дальнейшего выделения из жидкого носителя с получением энергии, необходимо на каждом этапе решать вопросы материаловедческого характера, в том числе обеспечивая защиту от так называемой «водородной хрупкости». В этих вопросах ТГУ имеет весьма высокие компетенции. Работы под руководством доктора технических наук, заслуженного деятеля науки и техники РСФСР, академика Инженерной Академии СССР </w:t>
      </w:r>
      <w:r w:rsidRPr="001D0714">
        <w:rPr>
          <w:rFonts w:ascii="Cambria" w:hAnsi="Cambria" w:cs="Times New Roman"/>
          <w:b/>
          <w:sz w:val="24"/>
        </w:rPr>
        <w:t xml:space="preserve">Михаила Ароновича </w:t>
      </w:r>
      <w:proofErr w:type="spellStart"/>
      <w:r w:rsidRPr="001D0714">
        <w:rPr>
          <w:rFonts w:ascii="Cambria" w:hAnsi="Cambria" w:cs="Times New Roman"/>
          <w:b/>
          <w:sz w:val="24"/>
        </w:rPr>
        <w:t>Криштала</w:t>
      </w:r>
      <w:proofErr w:type="spellEnd"/>
      <w:r w:rsidRPr="001D0714">
        <w:rPr>
          <w:rFonts w:ascii="Cambria" w:hAnsi="Cambria" w:cs="Times New Roman"/>
          <w:sz w:val="24"/>
        </w:rPr>
        <w:t xml:space="preserve"> велись с 1980-х годов и продолжают идти под руководством профессоров опорного вуза </w:t>
      </w:r>
      <w:r w:rsidRPr="001D0714">
        <w:rPr>
          <w:rFonts w:ascii="Cambria" w:hAnsi="Cambria" w:cs="Times New Roman"/>
          <w:b/>
          <w:sz w:val="24"/>
        </w:rPr>
        <w:t xml:space="preserve">Михаила </w:t>
      </w:r>
      <w:proofErr w:type="spellStart"/>
      <w:r w:rsidRPr="001D0714">
        <w:rPr>
          <w:rFonts w:ascii="Cambria" w:hAnsi="Cambria" w:cs="Times New Roman"/>
          <w:b/>
          <w:sz w:val="24"/>
        </w:rPr>
        <w:t>Выбойщика</w:t>
      </w:r>
      <w:proofErr w:type="spellEnd"/>
      <w:r w:rsidRPr="001D0714">
        <w:rPr>
          <w:rFonts w:ascii="Cambria" w:hAnsi="Cambria" w:cs="Times New Roman"/>
          <w:sz w:val="24"/>
        </w:rPr>
        <w:t xml:space="preserve">, </w:t>
      </w:r>
      <w:r w:rsidRPr="001D0714">
        <w:rPr>
          <w:rFonts w:ascii="Cambria" w:hAnsi="Cambria" w:cs="Times New Roman"/>
          <w:b/>
          <w:sz w:val="24"/>
        </w:rPr>
        <w:t xml:space="preserve">Дмитрия </w:t>
      </w:r>
      <w:proofErr w:type="spellStart"/>
      <w:r w:rsidRPr="001D0714">
        <w:rPr>
          <w:rFonts w:ascii="Cambria" w:hAnsi="Cambria" w:cs="Times New Roman"/>
          <w:b/>
          <w:sz w:val="24"/>
        </w:rPr>
        <w:t>Мерсона</w:t>
      </w:r>
      <w:proofErr w:type="spellEnd"/>
      <w:r w:rsidRPr="001D0714">
        <w:rPr>
          <w:rFonts w:ascii="Cambria" w:hAnsi="Cambria" w:cs="Times New Roman"/>
          <w:sz w:val="24"/>
        </w:rPr>
        <w:t xml:space="preserve"> и </w:t>
      </w:r>
      <w:r w:rsidR="001D0714" w:rsidRPr="001D0714">
        <w:rPr>
          <w:rFonts w:ascii="Cambria" w:hAnsi="Cambria" w:cs="Times New Roman"/>
          <w:b/>
          <w:sz w:val="24"/>
        </w:rPr>
        <w:t xml:space="preserve">Михаила </w:t>
      </w:r>
      <w:proofErr w:type="spellStart"/>
      <w:r w:rsidRPr="001D0714">
        <w:rPr>
          <w:rFonts w:ascii="Cambria" w:hAnsi="Cambria" w:cs="Times New Roman"/>
          <w:b/>
          <w:sz w:val="24"/>
        </w:rPr>
        <w:t>Криштала</w:t>
      </w:r>
      <w:proofErr w:type="spellEnd"/>
      <w:r w:rsidRPr="001D0714">
        <w:rPr>
          <w:rFonts w:ascii="Cambria" w:hAnsi="Cambria" w:cs="Times New Roman"/>
          <w:sz w:val="24"/>
        </w:rPr>
        <w:t>, ректора ТГУ.</w:t>
      </w:r>
      <w:r>
        <w:rPr>
          <w:rFonts w:ascii="Cambria" w:hAnsi="Cambria" w:cs="Times New Roman"/>
          <w:sz w:val="24"/>
        </w:rPr>
        <w:t xml:space="preserve"> </w:t>
      </w:r>
    </w:p>
    <w:p w:rsidR="008809DB" w:rsidRPr="007F453B" w:rsidRDefault="00D90EE6" w:rsidP="00412DF1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7F453B">
        <w:rPr>
          <w:rFonts w:ascii="Cambria" w:hAnsi="Cambria" w:cs="Times New Roman"/>
          <w:sz w:val="24"/>
        </w:rPr>
        <w:t xml:space="preserve">Исследование проведено при </w:t>
      </w:r>
      <w:proofErr w:type="spellStart"/>
      <w:r w:rsidRPr="007F453B">
        <w:rPr>
          <w:rFonts w:ascii="Cambria" w:hAnsi="Cambria" w:cs="Times New Roman"/>
          <w:sz w:val="24"/>
        </w:rPr>
        <w:t>грантовой</w:t>
      </w:r>
      <w:proofErr w:type="spellEnd"/>
      <w:r w:rsidRPr="007F453B">
        <w:rPr>
          <w:rFonts w:ascii="Cambria" w:hAnsi="Cambria" w:cs="Times New Roman"/>
          <w:sz w:val="24"/>
        </w:rPr>
        <w:t xml:space="preserve"> поддержке Российского научного фонда. Эксперимент описан в статье, </w:t>
      </w:r>
      <w:r w:rsidR="00FF0CC3" w:rsidRPr="007F453B">
        <w:rPr>
          <w:rFonts w:ascii="Cambria" w:hAnsi="Cambria" w:cs="Times New Roman"/>
          <w:sz w:val="24"/>
        </w:rPr>
        <w:t>опубликованной в</w:t>
      </w:r>
      <w:r w:rsidRPr="007F453B">
        <w:rPr>
          <w:rFonts w:ascii="Cambria" w:hAnsi="Cambria" w:cs="Times New Roman"/>
          <w:sz w:val="24"/>
        </w:rPr>
        <w:t xml:space="preserve"> </w:t>
      </w:r>
      <w:hyperlink r:id="rId5" w:history="1">
        <w:r w:rsidRPr="007F453B">
          <w:rPr>
            <w:rStyle w:val="a3"/>
            <w:rFonts w:ascii="Cambria" w:hAnsi="Cambria" w:cs="Times New Roman"/>
            <w:sz w:val="24"/>
          </w:rPr>
          <w:t>высокорейтингов</w:t>
        </w:r>
        <w:r w:rsidR="00FF0CC3" w:rsidRPr="007F453B">
          <w:rPr>
            <w:rStyle w:val="a3"/>
            <w:rFonts w:ascii="Cambria" w:hAnsi="Cambria" w:cs="Times New Roman"/>
            <w:sz w:val="24"/>
          </w:rPr>
          <w:t>ом</w:t>
        </w:r>
        <w:r w:rsidRPr="007F453B">
          <w:rPr>
            <w:rStyle w:val="a3"/>
            <w:rFonts w:ascii="Cambria" w:hAnsi="Cambria" w:cs="Times New Roman"/>
            <w:sz w:val="24"/>
          </w:rPr>
          <w:t xml:space="preserve"> научн</w:t>
        </w:r>
        <w:r w:rsidR="00FF0CC3" w:rsidRPr="007F453B">
          <w:rPr>
            <w:rStyle w:val="a3"/>
            <w:rFonts w:ascii="Cambria" w:hAnsi="Cambria" w:cs="Times New Roman"/>
            <w:sz w:val="24"/>
          </w:rPr>
          <w:t>ом</w:t>
        </w:r>
        <w:r w:rsidRPr="007F453B">
          <w:rPr>
            <w:rStyle w:val="a3"/>
            <w:rFonts w:ascii="Cambria" w:hAnsi="Cambria" w:cs="Times New Roman"/>
            <w:sz w:val="24"/>
          </w:rPr>
          <w:t xml:space="preserve"> журнал</w:t>
        </w:r>
        <w:r w:rsidR="00FF0CC3" w:rsidRPr="007F453B">
          <w:rPr>
            <w:rStyle w:val="a3"/>
            <w:rFonts w:ascii="Cambria" w:hAnsi="Cambria" w:cs="Times New Roman"/>
            <w:sz w:val="24"/>
          </w:rPr>
          <w:t>е</w:t>
        </w:r>
        <w:r w:rsidRPr="007F453B">
          <w:rPr>
            <w:rStyle w:val="a3"/>
            <w:rFonts w:ascii="Cambria" w:hAnsi="Cambria" w:cs="Times New Roman"/>
            <w:sz w:val="24"/>
          </w:rPr>
          <w:t xml:space="preserve"> </w:t>
        </w:r>
        <w:proofErr w:type="spellStart"/>
        <w:r w:rsidRPr="007F453B">
          <w:rPr>
            <w:rStyle w:val="a3"/>
            <w:rFonts w:ascii="Cambria" w:hAnsi="Cambria" w:cs="Times New Roman"/>
            <w:sz w:val="24"/>
          </w:rPr>
          <w:t>Materials</w:t>
        </w:r>
        <w:proofErr w:type="spellEnd"/>
        <w:r w:rsidRPr="007F453B">
          <w:rPr>
            <w:rStyle w:val="a3"/>
            <w:rFonts w:ascii="Cambria" w:hAnsi="Cambria" w:cs="Times New Roman"/>
            <w:sz w:val="24"/>
          </w:rPr>
          <w:t xml:space="preserve"> </w:t>
        </w:r>
        <w:proofErr w:type="spellStart"/>
        <w:r w:rsidRPr="007F453B">
          <w:rPr>
            <w:rStyle w:val="a3"/>
            <w:rFonts w:ascii="Cambria" w:hAnsi="Cambria" w:cs="Times New Roman"/>
            <w:sz w:val="24"/>
          </w:rPr>
          <w:t>Science</w:t>
        </w:r>
        <w:proofErr w:type="spellEnd"/>
        <w:r w:rsidRPr="007F453B">
          <w:rPr>
            <w:rStyle w:val="a3"/>
            <w:rFonts w:ascii="Cambria" w:hAnsi="Cambria" w:cs="Times New Roman"/>
            <w:sz w:val="24"/>
          </w:rPr>
          <w:t xml:space="preserve"> </w:t>
        </w:r>
        <w:proofErr w:type="spellStart"/>
        <w:r w:rsidRPr="007F453B">
          <w:rPr>
            <w:rStyle w:val="a3"/>
            <w:rFonts w:ascii="Cambria" w:hAnsi="Cambria" w:cs="Times New Roman"/>
            <w:sz w:val="24"/>
          </w:rPr>
          <w:t>and</w:t>
        </w:r>
        <w:proofErr w:type="spellEnd"/>
        <w:r w:rsidRPr="007F453B">
          <w:rPr>
            <w:rStyle w:val="a3"/>
            <w:rFonts w:ascii="Cambria" w:hAnsi="Cambria" w:cs="Times New Roman"/>
            <w:sz w:val="24"/>
          </w:rPr>
          <w:t xml:space="preserve"> </w:t>
        </w:r>
        <w:proofErr w:type="spellStart"/>
        <w:r w:rsidRPr="007F453B">
          <w:rPr>
            <w:rStyle w:val="a3"/>
            <w:rFonts w:ascii="Cambria" w:hAnsi="Cambria" w:cs="Times New Roman"/>
            <w:sz w:val="24"/>
          </w:rPr>
          <w:t>Engineering</w:t>
        </w:r>
        <w:proofErr w:type="spellEnd"/>
        <w:r w:rsidRPr="007F453B">
          <w:rPr>
            <w:rStyle w:val="a3"/>
            <w:rFonts w:ascii="Cambria" w:hAnsi="Cambria" w:cs="Times New Roman"/>
            <w:sz w:val="24"/>
          </w:rPr>
          <w:t>: A</w:t>
        </w:r>
      </w:hyperlink>
      <w:r w:rsidRPr="007F453B">
        <w:rPr>
          <w:rStyle w:val="a3"/>
          <w:rFonts w:ascii="Cambria" w:hAnsi="Cambria" w:cs="Times New Roman"/>
          <w:sz w:val="24"/>
        </w:rPr>
        <w:t xml:space="preserve"> (входит в перечень </w:t>
      </w:r>
      <w:r w:rsidRPr="007F453B">
        <w:rPr>
          <w:rStyle w:val="a3"/>
          <w:rFonts w:ascii="Cambria" w:hAnsi="Cambria" w:cs="Times New Roman"/>
          <w:sz w:val="24"/>
          <w:lang w:val="en-US"/>
        </w:rPr>
        <w:t>Q</w:t>
      </w:r>
      <w:r w:rsidRPr="007F453B">
        <w:rPr>
          <w:rStyle w:val="a3"/>
          <w:rFonts w:ascii="Cambria" w:hAnsi="Cambria" w:cs="Times New Roman"/>
          <w:sz w:val="24"/>
        </w:rPr>
        <w:t>1)</w:t>
      </w:r>
      <w:r w:rsidR="00412DF1" w:rsidRPr="007F453B">
        <w:rPr>
          <w:rFonts w:ascii="Cambria" w:hAnsi="Cambria" w:cs="Times New Roman"/>
          <w:sz w:val="24"/>
        </w:rPr>
        <w:t>.</w:t>
      </w:r>
    </w:p>
    <w:sectPr w:rsidR="008809DB" w:rsidRPr="007F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26"/>
    <w:rsid w:val="00026B26"/>
    <w:rsid w:val="000F63F9"/>
    <w:rsid w:val="001830B1"/>
    <w:rsid w:val="001D0714"/>
    <w:rsid w:val="001F6053"/>
    <w:rsid w:val="001F63E5"/>
    <w:rsid w:val="00237229"/>
    <w:rsid w:val="00273352"/>
    <w:rsid w:val="003A603C"/>
    <w:rsid w:val="003B0A88"/>
    <w:rsid w:val="00412DF1"/>
    <w:rsid w:val="004309EB"/>
    <w:rsid w:val="00477B65"/>
    <w:rsid w:val="0048304A"/>
    <w:rsid w:val="00495093"/>
    <w:rsid w:val="00497BF2"/>
    <w:rsid w:val="004C128F"/>
    <w:rsid w:val="004E3438"/>
    <w:rsid w:val="00546D16"/>
    <w:rsid w:val="0064730B"/>
    <w:rsid w:val="006C4147"/>
    <w:rsid w:val="006D5D33"/>
    <w:rsid w:val="007279AD"/>
    <w:rsid w:val="00731A72"/>
    <w:rsid w:val="007F453B"/>
    <w:rsid w:val="00836C69"/>
    <w:rsid w:val="00873BD6"/>
    <w:rsid w:val="008809DB"/>
    <w:rsid w:val="00934F5B"/>
    <w:rsid w:val="009556B0"/>
    <w:rsid w:val="009F4263"/>
    <w:rsid w:val="00A62431"/>
    <w:rsid w:val="00AE1893"/>
    <w:rsid w:val="00B42DF2"/>
    <w:rsid w:val="00B84F88"/>
    <w:rsid w:val="00BB7D4A"/>
    <w:rsid w:val="00BC447F"/>
    <w:rsid w:val="00C44693"/>
    <w:rsid w:val="00C934DB"/>
    <w:rsid w:val="00D11985"/>
    <w:rsid w:val="00D90EE6"/>
    <w:rsid w:val="00DE2A78"/>
    <w:rsid w:val="00DE38A1"/>
    <w:rsid w:val="00E16E31"/>
    <w:rsid w:val="00F230DC"/>
    <w:rsid w:val="00F47BFA"/>
    <w:rsid w:val="00F47C12"/>
    <w:rsid w:val="00FD6F15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8EE3"/>
  <w15:docId w15:val="{8A419CD4-ACCD-BC4C-AFC2-01C85CC5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D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A72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1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pii/S0921509321010923?dgcid=autho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2021-08-06T07:43:00Z</dcterms:created>
  <dcterms:modified xsi:type="dcterms:W3CDTF">2021-08-06T11:48:00Z</dcterms:modified>
</cp:coreProperties>
</file>