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054486">
        <w:tc>
          <w:tcPr>
            <w:tcW w:w="5571" w:type="dxa"/>
            <w:shd w:val="clear" w:color="auto" w:fill="auto"/>
          </w:tcPr>
          <w:p w:rsidR="00054486" w:rsidRDefault="002750AA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val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054486" w:rsidRDefault="00054486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2750AA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59BDFBB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6040" cy="1456055"/>
                <wp:effectExtent l="0" t="0" r="0" b="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60" cy="145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4486" w:rsidRDefault="002750AA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054486" w:rsidRDefault="002750AA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054486" w:rsidRDefault="00054486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486" w:rsidRDefault="002750AA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054486" w:rsidRDefault="002750AA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054486" w:rsidRDefault="00C70AC9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 w:rsidR="002750AA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2750AA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54486" w:rsidRDefault="002750AA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054486" w:rsidRDefault="00054486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margin-left:0;margin-top:-113.05pt;width:505.2pt;height:114.6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    <v:textbox>
                  <w:txbxContent>
                    <w:p w:rsidR="00054486" w:rsidRDefault="002750AA">
                      <w:pPr>
                        <w:pStyle w:val="af5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054486" w:rsidRDefault="002750AA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054486" w:rsidRDefault="00054486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054486" w:rsidRDefault="002750AA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:rsidR="00054486" w:rsidRDefault="002750AA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8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054486" w:rsidRDefault="00C70AC9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9">
                        <w:r w:rsidR="002750AA"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2750AA"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54486" w:rsidRDefault="002750AA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054486" w:rsidRDefault="00054486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:rsidR="00054486" w:rsidRDefault="00C70AC9">
      <w:pPr>
        <w:spacing w:line="240" w:lineRule="auto"/>
        <w:ind w:right="1503"/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06</w:t>
      </w:r>
      <w:r w:rsidR="007979BF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.08</w:t>
      </w:r>
      <w:r w:rsidR="002750AA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.2021</w:t>
      </w:r>
    </w:p>
    <w:p w:rsidR="002750AA" w:rsidRDefault="002750AA" w:rsidP="002750AA">
      <w:pPr>
        <w:shd w:val="clear" w:color="auto" w:fill="FFFFFF"/>
        <w:jc w:val="both"/>
        <w:rPr>
          <w:b/>
          <w:color w:val="000000"/>
          <w:sz w:val="28"/>
          <w:lang w:val="ru-RU"/>
        </w:rPr>
      </w:pPr>
    </w:p>
    <w:p w:rsidR="00C70AC9" w:rsidRPr="00C70AC9" w:rsidRDefault="00C70AC9" w:rsidP="00C70AC9">
      <w:pPr>
        <w:pStyle w:val="detnewstitle"/>
        <w:shd w:val="clear" w:color="auto" w:fill="FFFFFF"/>
        <w:spacing w:beforeAutospacing="0" w:afterAutospacing="0"/>
        <w:jc w:val="both"/>
        <w:rPr>
          <w:rFonts w:ascii="Trebuchet MS" w:hAnsi="Trebuchet MS" w:cs="Arial"/>
          <w:b/>
          <w:color w:val="333333"/>
          <w:sz w:val="28"/>
        </w:rPr>
      </w:pPr>
      <w:r w:rsidRPr="00C70AC9">
        <w:rPr>
          <w:rFonts w:ascii="Trebuchet MS" w:hAnsi="Trebuchet MS" w:cs="Arial"/>
          <w:b/>
          <w:color w:val="333333"/>
          <w:sz w:val="28"/>
        </w:rPr>
        <w:t xml:space="preserve">Курская АЭС в июле выработала свыше 1,7 </w:t>
      </w:r>
      <w:proofErr w:type="gramStart"/>
      <w:r w:rsidRPr="00C70AC9">
        <w:rPr>
          <w:rFonts w:ascii="Trebuchet MS" w:hAnsi="Trebuchet MS" w:cs="Arial"/>
          <w:b/>
          <w:color w:val="333333"/>
          <w:sz w:val="28"/>
        </w:rPr>
        <w:t>млрд</w:t>
      </w:r>
      <w:proofErr w:type="gramEnd"/>
      <w:r w:rsidRPr="00C70AC9">
        <w:rPr>
          <w:rFonts w:ascii="Trebuchet MS" w:hAnsi="Trebuchet MS" w:cs="Arial"/>
          <w:b/>
          <w:color w:val="333333"/>
          <w:sz w:val="28"/>
        </w:rPr>
        <w:t xml:space="preserve"> </w:t>
      </w:r>
      <w:proofErr w:type="spellStart"/>
      <w:r w:rsidRPr="00C70AC9">
        <w:rPr>
          <w:rFonts w:ascii="Trebuchet MS" w:hAnsi="Trebuchet MS" w:cs="Arial"/>
          <w:b/>
          <w:color w:val="333333"/>
          <w:sz w:val="28"/>
        </w:rPr>
        <w:t>кВтч</w:t>
      </w:r>
      <w:proofErr w:type="spellEnd"/>
      <w:r w:rsidRPr="00C70AC9">
        <w:rPr>
          <w:rFonts w:ascii="Trebuchet MS" w:hAnsi="Trebuchet MS" w:cs="Arial"/>
          <w:b/>
          <w:color w:val="333333"/>
          <w:sz w:val="28"/>
        </w:rPr>
        <w:t xml:space="preserve"> электроэнергии</w:t>
      </w:r>
    </w:p>
    <w:p w:rsidR="00C70AC9" w:rsidRPr="00C70AC9" w:rsidRDefault="00C70AC9" w:rsidP="00C70AC9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C70AC9">
        <w:rPr>
          <w:rFonts w:ascii="Trebuchet MS" w:hAnsi="Trebuchet MS"/>
          <w:color w:val="333333"/>
          <w:sz w:val="24"/>
          <w:szCs w:val="24"/>
        </w:rPr>
        <w:t>Данный объём может обеспечить потребление электроэнергии домашними хозяйствами и сферой услуг Курской области в течение 10 месяцев.</w:t>
      </w:r>
    </w:p>
    <w:p w:rsidR="00C70AC9" w:rsidRPr="00C70AC9" w:rsidRDefault="00C70AC9" w:rsidP="00C70AC9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C70AC9">
        <w:rPr>
          <w:rFonts w:ascii="Trebuchet MS" w:hAnsi="Trebuchet MS"/>
          <w:color w:val="333333"/>
          <w:sz w:val="24"/>
          <w:szCs w:val="24"/>
        </w:rPr>
        <w:t xml:space="preserve">На оптовый рынок электроэнергии и мощности (ОРЭМ) в июле дополнительно поступило 103,5 </w:t>
      </w:r>
      <w:proofErr w:type="gramStart"/>
      <w:r w:rsidRPr="00C70AC9">
        <w:rPr>
          <w:rFonts w:ascii="Trebuchet MS" w:hAnsi="Trebuchet MS"/>
          <w:color w:val="333333"/>
          <w:sz w:val="24"/>
          <w:szCs w:val="24"/>
        </w:rPr>
        <w:t>млн</w:t>
      </w:r>
      <w:proofErr w:type="gramEnd"/>
      <w:r w:rsidRPr="00C70AC9">
        <w:rPr>
          <w:rFonts w:ascii="Trebuchet MS" w:hAnsi="Trebuchet MS"/>
          <w:color w:val="333333"/>
          <w:sz w:val="24"/>
          <w:szCs w:val="24"/>
        </w:rPr>
        <w:t xml:space="preserve"> </w:t>
      </w:r>
      <w:proofErr w:type="spellStart"/>
      <w:r w:rsidRPr="00C70AC9">
        <w:rPr>
          <w:rFonts w:ascii="Trebuchet MS" w:hAnsi="Trebuchet MS"/>
          <w:color w:val="333333"/>
          <w:sz w:val="24"/>
          <w:szCs w:val="24"/>
        </w:rPr>
        <w:t>кВтч</w:t>
      </w:r>
      <w:proofErr w:type="spellEnd"/>
      <w:r w:rsidRPr="00C70AC9">
        <w:rPr>
          <w:rFonts w:ascii="Trebuchet MS" w:hAnsi="Trebuchet MS"/>
          <w:color w:val="333333"/>
          <w:sz w:val="24"/>
          <w:szCs w:val="24"/>
        </w:rPr>
        <w:t xml:space="preserve"> электроэнергии. Соответствующий уровень прошлого </w:t>
      </w:r>
      <w:bookmarkStart w:id="0" w:name="_GoBack"/>
      <w:bookmarkEnd w:id="0"/>
      <w:r w:rsidRPr="00C70AC9">
        <w:rPr>
          <w:rFonts w:ascii="Trebuchet MS" w:hAnsi="Trebuchet MS"/>
          <w:color w:val="333333"/>
          <w:sz w:val="24"/>
          <w:szCs w:val="24"/>
        </w:rPr>
        <w:t xml:space="preserve">года превзойдён на 43,3  </w:t>
      </w:r>
      <w:proofErr w:type="gramStart"/>
      <w:r w:rsidRPr="00C70AC9">
        <w:rPr>
          <w:rFonts w:ascii="Trebuchet MS" w:hAnsi="Trebuchet MS"/>
          <w:color w:val="333333"/>
          <w:sz w:val="24"/>
          <w:szCs w:val="24"/>
        </w:rPr>
        <w:t>млн</w:t>
      </w:r>
      <w:proofErr w:type="gramEnd"/>
      <w:r w:rsidRPr="00C70AC9">
        <w:rPr>
          <w:rFonts w:ascii="Trebuchet MS" w:hAnsi="Trebuchet MS"/>
          <w:color w:val="333333"/>
          <w:sz w:val="24"/>
          <w:szCs w:val="24"/>
        </w:rPr>
        <w:t xml:space="preserve"> </w:t>
      </w:r>
      <w:proofErr w:type="spellStart"/>
      <w:r w:rsidRPr="00C70AC9">
        <w:rPr>
          <w:rFonts w:ascii="Trebuchet MS" w:hAnsi="Trebuchet MS"/>
          <w:color w:val="333333"/>
          <w:sz w:val="24"/>
          <w:szCs w:val="24"/>
        </w:rPr>
        <w:t>кВтч</w:t>
      </w:r>
      <w:proofErr w:type="spellEnd"/>
      <w:r w:rsidRPr="00C70AC9">
        <w:rPr>
          <w:rFonts w:ascii="Trebuchet MS" w:hAnsi="Trebuchet MS"/>
          <w:color w:val="333333"/>
          <w:sz w:val="24"/>
          <w:szCs w:val="24"/>
        </w:rPr>
        <w:t>.</w:t>
      </w:r>
    </w:p>
    <w:p w:rsidR="00C70AC9" w:rsidRPr="00C70AC9" w:rsidRDefault="00C70AC9" w:rsidP="00C70AC9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C70AC9">
        <w:rPr>
          <w:rFonts w:ascii="Trebuchet MS" w:hAnsi="Trebuchet MS"/>
          <w:color w:val="333333"/>
          <w:sz w:val="24"/>
          <w:szCs w:val="24"/>
        </w:rPr>
        <w:t xml:space="preserve">По состоянию на 5 августа выработка Курской АЭС с начала года превысила 14 </w:t>
      </w:r>
      <w:proofErr w:type="gramStart"/>
      <w:r w:rsidRPr="00C70AC9">
        <w:rPr>
          <w:rFonts w:ascii="Trebuchet MS" w:hAnsi="Trebuchet MS"/>
          <w:color w:val="333333"/>
          <w:sz w:val="24"/>
          <w:szCs w:val="24"/>
        </w:rPr>
        <w:t>млрд</w:t>
      </w:r>
      <w:proofErr w:type="gramEnd"/>
      <w:r w:rsidRPr="00C70AC9">
        <w:rPr>
          <w:rFonts w:ascii="Trebuchet MS" w:hAnsi="Trebuchet MS"/>
          <w:color w:val="333333"/>
          <w:sz w:val="24"/>
          <w:szCs w:val="24"/>
        </w:rPr>
        <w:t xml:space="preserve"> 762 млн </w:t>
      </w:r>
      <w:proofErr w:type="spellStart"/>
      <w:r w:rsidRPr="00C70AC9">
        <w:rPr>
          <w:rFonts w:ascii="Trebuchet MS" w:hAnsi="Trebuchet MS"/>
          <w:color w:val="333333"/>
          <w:sz w:val="24"/>
          <w:szCs w:val="24"/>
        </w:rPr>
        <w:t>кВтч</w:t>
      </w:r>
      <w:proofErr w:type="spellEnd"/>
      <w:r w:rsidRPr="00C70AC9">
        <w:rPr>
          <w:rFonts w:ascii="Trebuchet MS" w:hAnsi="Trebuchet MS"/>
          <w:color w:val="333333"/>
          <w:sz w:val="24"/>
          <w:szCs w:val="24"/>
        </w:rPr>
        <w:t xml:space="preserve">. Работа энергоблоков не позволила попасть в атмосферу более 7,4 </w:t>
      </w:r>
      <w:proofErr w:type="gramStart"/>
      <w:r w:rsidRPr="00C70AC9">
        <w:rPr>
          <w:rFonts w:ascii="Trebuchet MS" w:hAnsi="Trebuchet MS"/>
          <w:color w:val="333333"/>
          <w:sz w:val="24"/>
          <w:szCs w:val="24"/>
        </w:rPr>
        <w:t>млн</w:t>
      </w:r>
      <w:proofErr w:type="gramEnd"/>
      <w:r w:rsidRPr="00C70AC9">
        <w:rPr>
          <w:rFonts w:ascii="Trebuchet MS" w:hAnsi="Trebuchet MS"/>
          <w:color w:val="333333"/>
          <w:sz w:val="24"/>
          <w:szCs w:val="24"/>
        </w:rPr>
        <w:t xml:space="preserve"> тонн углекислого газа.</w:t>
      </w:r>
    </w:p>
    <w:p w:rsidR="00C70AC9" w:rsidRPr="00C70AC9" w:rsidRDefault="00C70AC9" w:rsidP="00C70AC9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C70AC9">
        <w:rPr>
          <w:rFonts w:ascii="Trebuchet MS" w:hAnsi="Trebuchet MS"/>
          <w:color w:val="333333"/>
          <w:sz w:val="24"/>
          <w:szCs w:val="24"/>
        </w:rPr>
        <w:t>«Производственные показатели 7 месяцев текущего года достигнуты благодаря стабильной работе энергоблоков и сокращению сроков планово-предупредительных ремонтов, – сообщил начальник производственно-технического отдела Курской АЭС </w:t>
      </w:r>
      <w:r w:rsidRPr="00C70AC9">
        <w:rPr>
          <w:rFonts w:ascii="Trebuchet MS" w:hAnsi="Trebuchet MS"/>
          <w:b/>
          <w:bCs/>
          <w:color w:val="333333"/>
          <w:sz w:val="24"/>
          <w:szCs w:val="24"/>
        </w:rPr>
        <w:t>Сергей Коваленко</w:t>
      </w:r>
      <w:r w:rsidRPr="00C70AC9">
        <w:rPr>
          <w:rFonts w:ascii="Trebuchet MS" w:hAnsi="Trebuchet MS"/>
          <w:color w:val="333333"/>
          <w:sz w:val="24"/>
          <w:szCs w:val="24"/>
        </w:rPr>
        <w:t>.</w:t>
      </w:r>
    </w:p>
    <w:p w:rsidR="00C70AC9" w:rsidRPr="00C70AC9" w:rsidRDefault="00C70AC9" w:rsidP="00C70AC9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C70AC9">
        <w:rPr>
          <w:rFonts w:ascii="Trebuchet MS" w:hAnsi="Trebuchet MS"/>
          <w:color w:val="333333"/>
          <w:sz w:val="24"/>
          <w:szCs w:val="24"/>
        </w:rPr>
        <w:t xml:space="preserve">С момента пуска первого энергоблока в 1976 году к настоящему времени Курская АЭС выработала свыше 977,5 </w:t>
      </w:r>
      <w:proofErr w:type="gramStart"/>
      <w:r w:rsidRPr="00C70AC9">
        <w:rPr>
          <w:rFonts w:ascii="Trebuchet MS" w:hAnsi="Trebuchet MS"/>
          <w:color w:val="333333"/>
          <w:sz w:val="24"/>
          <w:szCs w:val="24"/>
        </w:rPr>
        <w:t>млрд</w:t>
      </w:r>
      <w:proofErr w:type="gramEnd"/>
      <w:r w:rsidRPr="00C70AC9">
        <w:rPr>
          <w:rFonts w:ascii="Trebuchet MS" w:hAnsi="Trebuchet MS"/>
          <w:color w:val="333333"/>
          <w:sz w:val="24"/>
          <w:szCs w:val="24"/>
        </w:rPr>
        <w:t xml:space="preserve"> </w:t>
      </w:r>
      <w:proofErr w:type="spellStart"/>
      <w:r w:rsidRPr="00C70AC9">
        <w:rPr>
          <w:rFonts w:ascii="Trebuchet MS" w:hAnsi="Trebuchet MS"/>
          <w:color w:val="333333"/>
          <w:sz w:val="24"/>
          <w:szCs w:val="24"/>
        </w:rPr>
        <w:t>кВтч</w:t>
      </w:r>
      <w:proofErr w:type="spellEnd"/>
      <w:r w:rsidRPr="00C70AC9">
        <w:rPr>
          <w:rFonts w:ascii="Trebuchet MS" w:hAnsi="Trebuchet MS"/>
          <w:color w:val="333333"/>
          <w:sz w:val="24"/>
          <w:szCs w:val="24"/>
        </w:rPr>
        <w:t xml:space="preserve"> электроэнергии.</w:t>
      </w:r>
    </w:p>
    <w:p w:rsidR="00C70AC9" w:rsidRPr="00C70AC9" w:rsidRDefault="00C70AC9" w:rsidP="00C70AC9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C70AC9">
        <w:rPr>
          <w:rFonts w:ascii="Trebuchet MS" w:hAnsi="Trebuchet MS"/>
          <w:color w:val="333333"/>
          <w:sz w:val="24"/>
          <w:szCs w:val="24"/>
        </w:rPr>
        <w:t>В настоящее время на Курской АЭС энергоблоки №№ 1, 2 работают в соответствии с диспетчерским графиком. На энергоблоках № 3 и № 4 выполняются плановые ремонты.</w:t>
      </w:r>
    </w:p>
    <w:p w:rsidR="00C70AC9" w:rsidRPr="00C70AC9" w:rsidRDefault="00C70AC9" w:rsidP="00C70AC9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C70AC9">
        <w:rPr>
          <w:rFonts w:ascii="Trebuchet MS" w:hAnsi="Trebuchet MS"/>
          <w:color w:val="333333"/>
          <w:sz w:val="24"/>
          <w:szCs w:val="24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C70AC9" w:rsidRPr="00C70AC9" w:rsidRDefault="00C70AC9" w:rsidP="00C70AC9">
      <w:pPr>
        <w:shd w:val="clear" w:color="auto" w:fill="FFFFFF"/>
        <w:spacing w:line="240" w:lineRule="auto"/>
        <w:jc w:val="both"/>
        <w:rPr>
          <w:rFonts w:ascii="Trebuchet MS" w:hAnsi="Trebuchet MS"/>
          <w:color w:val="333333"/>
          <w:sz w:val="24"/>
          <w:szCs w:val="24"/>
        </w:rPr>
      </w:pPr>
      <w:r w:rsidRPr="00C70AC9">
        <w:rPr>
          <w:rFonts w:ascii="Trebuchet MS" w:hAnsi="Trebuchet MS"/>
          <w:i/>
          <w:iCs/>
          <w:color w:val="333333"/>
          <w:sz w:val="24"/>
          <w:szCs w:val="24"/>
        </w:rPr>
        <w:t>Оперативная информация о радиационной обстановке вблизи АЭС России и других объектов атомной отрасли представлена на сайте </w:t>
      </w:r>
      <w:hyperlink r:id="rId10" w:history="1">
        <w:r w:rsidRPr="00C70AC9">
          <w:rPr>
            <w:rStyle w:val="af6"/>
            <w:rFonts w:ascii="Trebuchet MS" w:hAnsi="Trebuchet MS"/>
            <w:i/>
            <w:iCs/>
            <w:color w:val="4E9DDA"/>
            <w:sz w:val="24"/>
            <w:szCs w:val="24"/>
          </w:rPr>
          <w:t>www.russianatom.ru</w:t>
        </w:r>
      </w:hyperlink>
      <w:r w:rsidRPr="00C70AC9">
        <w:rPr>
          <w:rFonts w:ascii="Trebuchet MS" w:hAnsi="Trebuchet MS"/>
          <w:i/>
          <w:iCs/>
          <w:color w:val="333333"/>
          <w:sz w:val="24"/>
          <w:szCs w:val="24"/>
        </w:rPr>
        <w:t>.</w:t>
      </w:r>
    </w:p>
    <w:p w:rsidR="007979BF" w:rsidRPr="007979BF" w:rsidRDefault="007979BF" w:rsidP="007979BF">
      <w:pPr>
        <w:spacing w:line="240" w:lineRule="auto"/>
        <w:ind w:left="357"/>
        <w:jc w:val="right"/>
        <w:rPr>
          <w:rFonts w:ascii="Trebuchet MS" w:hAnsi="Trebuchet MS"/>
          <w:sz w:val="24"/>
          <w:szCs w:val="24"/>
        </w:rPr>
      </w:pPr>
      <w:r w:rsidRPr="007979BF">
        <w:rPr>
          <w:rFonts w:ascii="Trebuchet MS" w:hAnsi="Trebuchet MS"/>
          <w:sz w:val="24"/>
          <w:szCs w:val="24"/>
        </w:rPr>
        <w:t>Управление информации и общественных связей Курской АЭС</w:t>
      </w:r>
    </w:p>
    <w:sectPr w:rsidR="007979BF" w:rsidRPr="007979BF">
      <w:pgSz w:w="11906" w:h="16838"/>
      <w:pgMar w:top="575" w:right="1440" w:bottom="454" w:left="1440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86"/>
    <w:rsid w:val="00011738"/>
    <w:rsid w:val="00054486"/>
    <w:rsid w:val="000C0672"/>
    <w:rsid w:val="002750AA"/>
    <w:rsid w:val="00511D86"/>
    <w:rsid w:val="007979BF"/>
    <w:rsid w:val="00C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rsid w:val="00AC4ABA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news-date-time">
    <w:name w:val="news-date-time"/>
    <w:basedOn w:val="a0"/>
    <w:qFormat/>
    <w:rsid w:val="003F3631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styleId="ae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4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0E18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uiPriority w:val="99"/>
    <w:rsid w:val="00275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rsid w:val="00AC4ABA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news-date-time">
    <w:name w:val="news-date-time"/>
    <w:basedOn w:val="a0"/>
    <w:qFormat/>
    <w:rsid w:val="003F3631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styleId="ae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4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0E18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uiPriority w:val="99"/>
    <w:rsid w:val="00275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russianat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Серебренников А.В.</cp:lastModifiedBy>
  <cp:revision>2</cp:revision>
  <cp:lastPrinted>2021-01-19T11:28:00Z</cp:lastPrinted>
  <dcterms:created xsi:type="dcterms:W3CDTF">2021-08-06T10:54:00Z</dcterms:created>
  <dcterms:modified xsi:type="dcterms:W3CDTF">2021-08-06T10:54:00Z</dcterms:modified>
  <dc:language>ru-RU</dc:language>
</cp:coreProperties>
</file>