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400"/>
      </w:tblPr>
      <w:tblGrid>
        <w:gridCol w:w="405"/>
        <w:gridCol w:w="6"/>
        <w:gridCol w:w="8539"/>
        <w:gridCol w:w="405"/>
        <w:tblGridChange w:id="0">
          <w:tblGrid>
            <w:gridCol w:w="405"/>
            <w:gridCol w:w="6"/>
            <w:gridCol w:w="8539"/>
            <w:gridCol w:w="405"/>
          </w:tblGrid>
        </w:tblGridChange>
      </w:tblGrid>
      <w:tr>
        <w:trPr>
          <w:cantSplit w:val="0"/>
          <w:tblHeader w:val="0"/>
        </w:trPr>
        <w:tc>
          <w:tcPr>
            <w:shd w:fill="0073af" w:val="clear"/>
          </w:tcPr>
          <w:p w:rsidR="00000000" w:rsidDel="00000000" w:rsidP="00000000" w:rsidRDefault="00000000" w:rsidRPr="00000000" w14:paraId="00000002">
            <w:pPr>
              <w:spacing w:after="160" w:line="259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3af" w:val="clear"/>
          </w:tcPr>
          <w:p w:rsidR="00000000" w:rsidDel="00000000" w:rsidP="00000000" w:rsidRDefault="00000000" w:rsidRPr="00000000" w14:paraId="00000003">
            <w:pPr>
              <w:spacing w:after="160" w:line="259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3af" w:val="clea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539.0" w:type="dxa"/>
              <w:jc w:val="center"/>
              <w:tblLayout w:type="fixed"/>
              <w:tblLook w:val="0400"/>
            </w:tblPr>
            <w:tblGrid>
              <w:gridCol w:w="5805"/>
              <w:gridCol w:w="2734"/>
              <w:tblGridChange w:id="0">
                <w:tblGrid>
                  <w:gridCol w:w="5805"/>
                  <w:gridCol w:w="273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5">
                  <w:pPr>
                    <w:widowControl w:val="0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5172.0" w:type="dxa"/>
                    <w:jc w:val="center"/>
                    <w:tblLayout w:type="fixed"/>
                    <w:tblLook w:val="0400"/>
                  </w:tblPr>
                  <w:tblGrid>
                    <w:gridCol w:w="5172"/>
                    <w:tblGridChange w:id="0">
                      <w:tblGrid>
                        <w:gridCol w:w="5172"/>
                      </w:tblGrid>
                    </w:tblGridChange>
                  </w:tblGrid>
                  <w:tr>
                    <w:trPr>
                      <w:cantSplit w:val="0"/>
                      <w:trHeight w:val="375" w:hRule="atLeast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006">
                        <w:pPr>
                          <w:spacing w:after="160" w:line="259" w:lineRule="auto"/>
                          <w:rPr>
                            <w:rFonts w:ascii="Calibri" w:cs="Calibri" w:eastAsia="Calibri" w:hAnsi="Calibri"/>
                            <w:sz w:val="26"/>
                            <w:szCs w:val="26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sz w:val="26"/>
                            <w:szCs w:val="26"/>
                            <w:rtl w:val="0"/>
                          </w:rPr>
                          <w:t xml:space="preserve"> 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007">
                        <w:pPr>
                          <w:spacing w:line="240" w:lineRule="auto"/>
                          <w:rPr>
                            <w:rFonts w:ascii="Calibri" w:cs="Calibri" w:eastAsia="Calibri" w:hAnsi="Calibri"/>
                            <w:b w:val="1"/>
                            <w:color w:val="ffffff"/>
                            <w:sz w:val="26"/>
                            <w:szCs w:val="26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ffffff"/>
                            <w:sz w:val="26"/>
                            <w:szCs w:val="26"/>
                            <w:rtl w:val="0"/>
                          </w:rPr>
                          <w:t xml:space="preserve">Пресс-релиз</w:t>
                        </w:r>
                      </w:p>
                    </w:tc>
                  </w:tr>
                  <w:tr>
                    <w:trPr>
                      <w:cantSplit w:val="0"/>
                      <w:trHeight w:val="600" w:hRule="atLeast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008">
                        <w:pPr>
                          <w:spacing w:after="160" w:line="259" w:lineRule="auto"/>
                          <w:rPr>
                            <w:rFonts w:ascii="Calibri" w:cs="Calibri" w:eastAsia="Calibri" w:hAnsi="Calibri"/>
                            <w:sz w:val="26"/>
                            <w:szCs w:val="26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sz w:val="26"/>
                            <w:szCs w:val="26"/>
                            <w:rtl w:val="0"/>
                          </w:rPr>
                          <w:t xml:space="preserve"> 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009">
                        <w:pPr>
                          <w:spacing w:line="240" w:lineRule="auto"/>
                          <w:rPr>
                            <w:rFonts w:ascii="Calibri" w:cs="Calibri" w:eastAsia="Calibri" w:hAnsi="Calibri"/>
                            <w:color w:val="ffffff"/>
                            <w:sz w:val="26"/>
                            <w:szCs w:val="26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color w:val="ffffff"/>
                            <w:sz w:val="26"/>
                            <w:szCs w:val="26"/>
                            <w:rtl w:val="0"/>
                          </w:rPr>
                          <w:t xml:space="preserve">Москва, 10 августа 2021 г.</w:t>
                        </w:r>
                      </w:p>
                    </w:tc>
                  </w:tr>
                  <w:tr>
                    <w:trPr>
                      <w:cantSplit w:val="0"/>
                      <w:trHeight w:val="375" w:hRule="atLeast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00A">
                        <w:pPr>
                          <w:spacing w:after="160" w:line="259" w:lineRule="auto"/>
                          <w:rPr>
                            <w:rFonts w:ascii="Calibri" w:cs="Calibri" w:eastAsia="Calibri" w:hAnsi="Calibri"/>
                            <w:sz w:val="26"/>
                            <w:szCs w:val="26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sz w:val="26"/>
                            <w:szCs w:val="26"/>
                            <w:rtl w:val="0"/>
                          </w:rPr>
                          <w:t xml:space="preserve"> 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0B">
                  <w:pPr>
                    <w:spacing w:after="160" w:line="259" w:lineRule="auto"/>
                    <w:jc w:val="center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C">
                  <w:pPr>
                    <w:spacing w:after="160" w:line="259" w:lineRule="auto"/>
                    <w:jc w:val="right"/>
                    <w:rPr>
                      <w:rFonts w:ascii="Calibri" w:cs="Calibri" w:eastAsia="Calibri" w:hAnsi="Calibri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96c3"/>
                      <w:sz w:val="26"/>
                      <w:szCs w:val="26"/>
                    </w:rPr>
                    <w:drawing>
                      <wp:inline distB="0" distT="0" distL="0" distR="0">
                        <wp:extent cx="1546860" cy="792480"/>
                        <wp:effectExtent b="0" l="0" r="0" t="0"/>
                        <wp:docPr descr="LafargeHolcim" id="1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LafargeHolcim" id="0" name="image1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860" cy="7924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spacing w:after="160" w:line="259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73af" w:val="clear"/>
          </w:tcPr>
          <w:p w:rsidR="00000000" w:rsidDel="00000000" w:rsidP="00000000" w:rsidRDefault="00000000" w:rsidRPr="00000000" w14:paraId="0000000E">
            <w:pPr>
              <w:spacing w:after="160" w:line="259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ЛафаржХолсим запустил горячую линию для обращений граждан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Новый канал для взаимодействия с компанией заработал во всех регионах присутствия ЛафаржХолсим в России: Московской, Калужской и Саратовской областях, а также в Республике Карелия.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«Горячая линия обеспечит качественную обратную связь от жителей и возможность оперативного реагирования на разные ситуации. Через новые каналы связи мы будем обрабатывать обращения граждан </w:t>
      </w:r>
      <w:r w:rsidDel="00000000" w:rsidR="00000000" w:rsidRPr="00000000">
        <w:rPr>
          <w:sz w:val="24"/>
          <w:szCs w:val="24"/>
          <w:rtl w:val="0"/>
        </w:rPr>
        <w:t xml:space="preserve">по актуальным вопросам работы заводов и карьеров, экологическим, социально-экономическим и другим аспектам. </w:t>
      </w:r>
      <w:r w:rsidDel="00000000" w:rsidR="00000000" w:rsidRPr="00000000">
        <w:rPr>
          <w:sz w:val="24"/>
          <w:szCs w:val="24"/>
          <w:rtl w:val="0"/>
        </w:rPr>
        <w:t xml:space="preserve">Таким образом мы хотим продемонстрировать нашим ближайшим соседям открытость компании и нашу готовность к конструктивному диалогу», — отметил генеральный директор ЛафаржХолсим Максим Гончаров.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Отзывы о работе компании можно отправить сообщением в WhatsApp по номеру +7 (963) 613 00 00 или письмом на электронную почту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feedback-rus@lafargeholcim.ru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Обращения по продукции ЛафаржХолсим следует направлять на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info@holcim.ru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Справочно: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i w:val="1"/>
          <w:sz w:val="26"/>
          <w:szCs w:val="26"/>
        </w:rPr>
      </w:pP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6"/>
            <w:szCs w:val="26"/>
            <w:u w:val="single"/>
            <w:rtl w:val="0"/>
          </w:rPr>
          <w:t xml:space="preserve">LafargeHolcim</w:t>
        </w:r>
      </w:hyperlink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 — мировой лидер в производстве строительных материалов и предоставлении комплексных решений для строительства. Бизнес компании представлен в четырех сегментах: выпуск цемента, товарного бетона, добыча нерудных материалов и создание продуктов и решений для строительной отрасли.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i w:val="1"/>
          <w:sz w:val="26"/>
          <w:szCs w:val="26"/>
        </w:rPr>
      </w:pPr>
      <w:hyperlink r:id="rId10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6"/>
            <w:szCs w:val="26"/>
            <w:u w:val="single"/>
            <w:rtl w:val="0"/>
          </w:rPr>
          <w:t xml:space="preserve">ЛафаржХолсим в России</w:t>
        </w:r>
      </w:hyperlink>
      <w:r w:rsidDel="00000000" w:rsidR="00000000" w:rsidRPr="00000000">
        <w:rPr>
          <w:rFonts w:ascii="Calibri" w:cs="Calibri" w:eastAsia="Calibri" w:hAnsi="Calibri"/>
          <w:i w:val="1"/>
          <w:color w:val="1155cc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развивает в стране цементный бизнес, направление нерудных материалов и сухих смесей. В настоящее время компания управляет четырьмя цементными заводами, а также тремя карьерами по добыче нерудных материалов. Продукция LafargeHolcim используется в производстве товарного бетона, ЖБИ, легких бетонных изделий, в инфраструктурном строительстве.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Подробности можно уточнить по телефону: +7 (926) 1011314 (Яна Юрова).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lafargeholcim.ru" TargetMode="External"/><Relationship Id="rId9" Type="http://schemas.openxmlformats.org/officeDocument/2006/relationships/hyperlink" Target="http://www.lafargeholcim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eedback-rus@lafargeholcim.ru" TargetMode="External"/><Relationship Id="rId8" Type="http://schemas.openxmlformats.org/officeDocument/2006/relationships/hyperlink" Target="mailto:info@holc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