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C4B7" w14:textId="77777777" w:rsidR="00AD4D1F" w:rsidRPr="007A6951" w:rsidRDefault="00AD4D1F" w:rsidP="00AD4D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 w:eastAsia="ru-RU"/>
        </w:rPr>
      </w:pPr>
    </w:p>
    <w:tbl>
      <w:tblPr>
        <w:tblStyle w:val="a9"/>
        <w:tblW w:w="92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87"/>
      </w:tblGrid>
      <w:tr w:rsidR="00AB5F76" w:rsidRPr="00FA4B2E" w14:paraId="1B07B2F9" w14:textId="77777777" w:rsidTr="00AB5F76">
        <w:tc>
          <w:tcPr>
            <w:tcW w:w="3261" w:type="dxa"/>
          </w:tcPr>
          <w:p w14:paraId="29CFC845" w14:textId="77777777" w:rsidR="00AB5F76" w:rsidRPr="00FA4B2E" w:rsidRDefault="00AB5F76" w:rsidP="00A91179">
            <w:pPr>
              <w:ind w:left="-783" w:firstLine="783"/>
              <w:rPr>
                <w:rFonts w:ascii="Arial" w:hAnsi="Arial" w:cs="Arial"/>
                <w:b/>
              </w:rPr>
            </w:pPr>
            <w:r w:rsidRPr="00FA4B2E">
              <w:rPr>
                <w:rFonts w:ascii="Arial" w:hAnsi="Arial" w:cs="Arial"/>
                <w:b/>
              </w:rPr>
              <w:t>Пресс-релиз</w:t>
            </w:r>
          </w:p>
          <w:p w14:paraId="0C10FE9B" w14:textId="77777777" w:rsidR="00F02547" w:rsidRDefault="00AB5F76" w:rsidP="00F02547">
            <w:pPr>
              <w:ind w:left="-783" w:firstLine="783"/>
              <w:rPr>
                <w:rFonts w:ascii="Arial" w:hAnsi="Arial" w:cs="Arial"/>
                <w:b/>
              </w:rPr>
            </w:pPr>
            <w:r w:rsidRPr="00FA4B2E">
              <w:rPr>
                <w:rFonts w:ascii="Arial" w:hAnsi="Arial" w:cs="Arial"/>
                <w:b/>
              </w:rPr>
              <w:t>Москва</w:t>
            </w:r>
          </w:p>
          <w:p w14:paraId="55011F8A" w14:textId="32A55740" w:rsidR="00AB5F76" w:rsidRPr="00F02547" w:rsidRDefault="00717A33" w:rsidP="00F02547">
            <w:pPr>
              <w:ind w:left="-783" w:firstLine="7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00B3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августа </w:t>
            </w:r>
            <w:r w:rsidR="00AB5F76" w:rsidRPr="00FA4B2E">
              <w:rPr>
                <w:rFonts w:ascii="Arial" w:hAnsi="Arial" w:cs="Arial"/>
                <w:b/>
                <w:bCs/>
              </w:rPr>
              <w:t>20</w:t>
            </w:r>
            <w:r w:rsidR="00410DC5" w:rsidRPr="00FA4B2E">
              <w:rPr>
                <w:rFonts w:ascii="Arial" w:hAnsi="Arial" w:cs="Arial"/>
                <w:b/>
                <w:bCs/>
              </w:rPr>
              <w:t>2</w:t>
            </w:r>
            <w:r w:rsidR="003A635F">
              <w:rPr>
                <w:rFonts w:ascii="Arial" w:hAnsi="Arial" w:cs="Arial"/>
                <w:b/>
                <w:bCs/>
              </w:rPr>
              <w:t>1</w:t>
            </w:r>
            <w:r w:rsidR="00AB5F76" w:rsidRPr="00FA4B2E">
              <w:rPr>
                <w:rFonts w:ascii="Arial" w:hAnsi="Arial" w:cs="Arial"/>
                <w:b/>
                <w:bCs/>
              </w:rPr>
              <w:t xml:space="preserve"> года</w:t>
            </w:r>
          </w:p>
          <w:p w14:paraId="2723E1E7" w14:textId="77777777" w:rsidR="00AB5F76" w:rsidRPr="00FA4B2E" w:rsidRDefault="00AB5F76" w:rsidP="00A91179">
            <w:pPr>
              <w:ind w:left="-783" w:firstLine="783"/>
              <w:rPr>
                <w:rFonts w:ascii="Arial" w:hAnsi="Arial" w:cs="Arial"/>
              </w:rPr>
            </w:pPr>
          </w:p>
          <w:p w14:paraId="269E1C8F" w14:textId="77777777" w:rsidR="00AB5F76" w:rsidRPr="00FA4B2E" w:rsidRDefault="00AB5F76" w:rsidP="00A91179">
            <w:pPr>
              <w:ind w:left="-783" w:firstLine="783"/>
              <w:rPr>
                <w:rFonts w:ascii="Arial" w:hAnsi="Arial" w:cs="Arial"/>
              </w:rPr>
            </w:pPr>
          </w:p>
        </w:tc>
        <w:tc>
          <w:tcPr>
            <w:tcW w:w="5987" w:type="dxa"/>
          </w:tcPr>
          <w:p w14:paraId="1ABA51EC" w14:textId="77777777" w:rsidR="00AB5F76" w:rsidRPr="00FA4B2E" w:rsidRDefault="00AB5F76" w:rsidP="00A91179">
            <w:pPr>
              <w:jc w:val="right"/>
              <w:rPr>
                <w:rFonts w:ascii="Arial" w:eastAsia="Times New Roman" w:hAnsi="Arial" w:cs="Arial"/>
              </w:rPr>
            </w:pPr>
            <w:r w:rsidRPr="00FA4B2E">
              <w:rPr>
                <w:rFonts w:ascii="Arial" w:eastAsia="Times New Roman" w:hAnsi="Arial" w:cs="Arial"/>
              </w:rPr>
              <w:t>Контакты пресс-службы:</w:t>
            </w:r>
          </w:p>
          <w:p w14:paraId="78E59882" w14:textId="77777777" w:rsidR="00AB5F76" w:rsidRPr="00FA4B2E" w:rsidRDefault="00AB5F76" w:rsidP="00A91179">
            <w:pPr>
              <w:jc w:val="right"/>
              <w:rPr>
                <w:rFonts w:ascii="Arial" w:eastAsia="Times New Roman" w:hAnsi="Arial" w:cs="Arial"/>
              </w:rPr>
            </w:pPr>
            <w:r w:rsidRPr="00FA4B2E">
              <w:rPr>
                <w:rFonts w:ascii="Arial" w:eastAsia="Times New Roman" w:hAnsi="Arial" w:cs="Arial"/>
              </w:rPr>
              <w:t>pr@x-holding.ru</w:t>
            </w:r>
          </w:p>
          <w:p w14:paraId="1B18A1E6" w14:textId="77777777" w:rsidR="00AB5F76" w:rsidRPr="00FA4B2E" w:rsidRDefault="00AB5F76" w:rsidP="00A91179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14:paraId="2974FDE2" w14:textId="77777777" w:rsidR="00DD63B6" w:rsidRPr="00FA4B2E" w:rsidRDefault="00DD63B6" w:rsidP="006F6C3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7E353A" w14:textId="047B290F" w:rsidR="00717A33" w:rsidRDefault="00717A33" w:rsidP="00717A33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17A33">
        <w:rPr>
          <w:rFonts w:ascii="Arial" w:hAnsi="Arial" w:cs="Arial"/>
          <w:b/>
          <w:bCs/>
          <w:sz w:val="28"/>
          <w:szCs w:val="28"/>
        </w:rPr>
        <w:t>Компания Nedra подвела итоги первого года работы</w:t>
      </w:r>
    </w:p>
    <w:p w14:paraId="03E2D2C2" w14:textId="77777777" w:rsidR="00717A33" w:rsidRPr="00717A33" w:rsidRDefault="00717A33" w:rsidP="00717A33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CCBCC7" w14:textId="64B1342F" w:rsidR="00717A33" w:rsidRDefault="00717A33" w:rsidP="00717A33">
      <w:pPr>
        <w:spacing w:before="12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17A33">
        <w:rPr>
          <w:rFonts w:ascii="Arial" w:hAnsi="Arial" w:cs="Arial"/>
          <w:i/>
          <w:iCs/>
          <w:sz w:val="24"/>
          <w:szCs w:val="24"/>
        </w:rPr>
        <w:t>Совместное предприятие «ИКС Холдинга» и «Газпром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717A33">
        <w:rPr>
          <w:rFonts w:ascii="Arial" w:hAnsi="Arial" w:cs="Arial"/>
          <w:i/>
          <w:iCs/>
          <w:sz w:val="24"/>
          <w:szCs w:val="24"/>
        </w:rPr>
        <w:t>нефти»</w:t>
      </w:r>
      <w:r>
        <w:rPr>
          <w:rFonts w:ascii="Arial" w:hAnsi="Arial" w:cs="Arial"/>
          <w:i/>
          <w:iCs/>
          <w:sz w:val="24"/>
          <w:szCs w:val="24"/>
        </w:rPr>
        <w:t xml:space="preserve"> - </w:t>
      </w:r>
      <w:r w:rsidRPr="00717A33">
        <w:rPr>
          <w:rFonts w:ascii="Arial" w:hAnsi="Arial" w:cs="Arial"/>
          <w:i/>
          <w:iCs/>
          <w:sz w:val="24"/>
          <w:szCs w:val="24"/>
        </w:rPr>
        <w:t>Nedra</w:t>
      </w:r>
      <w:r>
        <w:rPr>
          <w:rFonts w:ascii="Arial" w:hAnsi="Arial" w:cs="Arial"/>
          <w:i/>
          <w:iCs/>
          <w:sz w:val="24"/>
          <w:szCs w:val="24"/>
        </w:rPr>
        <w:t xml:space="preserve"> -</w:t>
      </w:r>
      <w:r w:rsidRPr="00717A33">
        <w:rPr>
          <w:rFonts w:ascii="Arial" w:hAnsi="Arial" w:cs="Arial"/>
          <w:i/>
          <w:iCs/>
          <w:sz w:val="24"/>
          <w:szCs w:val="24"/>
        </w:rPr>
        <w:t xml:space="preserve"> вышл</w:t>
      </w:r>
      <w:r>
        <w:rPr>
          <w:rFonts w:ascii="Arial" w:hAnsi="Arial" w:cs="Arial"/>
          <w:i/>
          <w:iCs/>
          <w:sz w:val="24"/>
          <w:szCs w:val="24"/>
        </w:rPr>
        <w:t>а</w:t>
      </w:r>
      <w:r w:rsidRPr="00717A33">
        <w:rPr>
          <w:rFonts w:ascii="Arial" w:hAnsi="Arial" w:cs="Arial"/>
          <w:i/>
          <w:iCs/>
          <w:sz w:val="24"/>
          <w:szCs w:val="24"/>
        </w:rPr>
        <w:t xml:space="preserve"> в прибыль и отметила рост по другим финансовым и операционным показателям.</w:t>
      </w:r>
    </w:p>
    <w:p w14:paraId="225A3ECA" w14:textId="77777777" w:rsidR="00717A33" w:rsidRPr="00717A33" w:rsidRDefault="00717A33" w:rsidP="00717A33">
      <w:pPr>
        <w:spacing w:before="12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372D572" w14:textId="2CAF5A31" w:rsidR="00717A33" w:rsidRPr="00717A33" w:rsidRDefault="00717A33" w:rsidP="00717A3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7A33">
        <w:rPr>
          <w:rFonts w:ascii="Arial" w:hAnsi="Arial" w:cs="Arial"/>
          <w:sz w:val="24"/>
          <w:szCs w:val="24"/>
        </w:rPr>
        <w:t>Компания Nedra, специализирующ</w:t>
      </w:r>
      <w:r>
        <w:rPr>
          <w:rFonts w:ascii="Arial" w:hAnsi="Arial" w:cs="Arial"/>
          <w:sz w:val="24"/>
          <w:szCs w:val="24"/>
        </w:rPr>
        <w:t>ая</w:t>
      </w:r>
      <w:r w:rsidRPr="00717A33">
        <w:rPr>
          <w:rFonts w:ascii="Arial" w:hAnsi="Arial" w:cs="Arial"/>
          <w:sz w:val="24"/>
          <w:szCs w:val="24"/>
        </w:rPr>
        <w:t>ся на цифровой трансформации нефтегазовой отрасли, подвела итоги 2020 года, отметив рост по ряду ключевых направлений:</w:t>
      </w:r>
    </w:p>
    <w:p w14:paraId="67731DE7" w14:textId="1AF72D2E" w:rsidR="00717A33" w:rsidRPr="00717A33" w:rsidRDefault="00717A33" w:rsidP="00717A33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17A33">
        <w:rPr>
          <w:rFonts w:ascii="Arial" w:hAnsi="Arial" w:cs="Arial"/>
          <w:sz w:val="24"/>
          <w:szCs w:val="24"/>
        </w:rPr>
        <w:t>бщая численность персонала достигла 174 человек, большая часть из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717A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17A33">
        <w:rPr>
          <w:rFonts w:ascii="Arial" w:hAnsi="Arial" w:cs="Arial"/>
          <w:sz w:val="24"/>
          <w:szCs w:val="24"/>
        </w:rPr>
        <w:t>менеджеры проектов, бизнес-аналитики и программисты, работающие с такими технологиями, как Java, JavaScript, Python;</w:t>
      </w:r>
    </w:p>
    <w:p w14:paraId="464F0D30" w14:textId="6233A3CB" w:rsidR="00717A33" w:rsidRPr="00717A33" w:rsidRDefault="00717A33" w:rsidP="00717A33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17A33">
        <w:rPr>
          <w:rFonts w:ascii="Arial" w:hAnsi="Arial" w:cs="Arial"/>
          <w:sz w:val="24"/>
          <w:szCs w:val="24"/>
        </w:rPr>
        <w:t>формированы центры компетенций по техническим направлениям, включая Java, Pyton, C#, ML и другие;</w:t>
      </w:r>
    </w:p>
    <w:p w14:paraId="61B9B2AB" w14:textId="1AF9A44C" w:rsidR="00717A33" w:rsidRPr="00717A33" w:rsidRDefault="00717A33" w:rsidP="00717A33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17A33">
        <w:rPr>
          <w:rFonts w:ascii="Arial" w:hAnsi="Arial" w:cs="Arial"/>
          <w:sz w:val="24"/>
          <w:szCs w:val="24"/>
        </w:rPr>
        <w:t>пределена первая и ключевая компетенция –</w:t>
      </w:r>
      <w:r>
        <w:rPr>
          <w:rFonts w:ascii="Arial" w:hAnsi="Arial" w:cs="Arial"/>
          <w:sz w:val="24"/>
          <w:szCs w:val="24"/>
        </w:rPr>
        <w:t xml:space="preserve"> </w:t>
      </w:r>
      <w:r w:rsidRPr="00717A33">
        <w:rPr>
          <w:rFonts w:ascii="Arial" w:hAnsi="Arial" w:cs="Arial"/>
          <w:sz w:val="24"/>
          <w:szCs w:val="24"/>
        </w:rPr>
        <w:t>E&amp;P Upstream</w:t>
      </w:r>
      <w:r>
        <w:rPr>
          <w:rFonts w:ascii="Arial" w:hAnsi="Arial" w:cs="Arial"/>
          <w:sz w:val="24"/>
          <w:szCs w:val="24"/>
        </w:rPr>
        <w:t>.</w:t>
      </w:r>
      <w:r w:rsidRPr="00717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</w:t>
      </w:r>
      <w:r w:rsidRPr="00717A33">
        <w:rPr>
          <w:rFonts w:ascii="Arial" w:hAnsi="Arial" w:cs="Arial"/>
          <w:sz w:val="24"/>
          <w:szCs w:val="24"/>
        </w:rPr>
        <w:t>ольш</w:t>
      </w:r>
      <w:r>
        <w:rPr>
          <w:rFonts w:ascii="Arial" w:hAnsi="Arial" w:cs="Arial"/>
          <w:sz w:val="24"/>
          <w:szCs w:val="24"/>
        </w:rPr>
        <w:t>ий объем</w:t>
      </w:r>
      <w:r w:rsidRPr="00717A33">
        <w:rPr>
          <w:rFonts w:ascii="Arial" w:hAnsi="Arial" w:cs="Arial"/>
          <w:sz w:val="24"/>
          <w:szCs w:val="24"/>
        </w:rPr>
        <w:t xml:space="preserve"> работы ведется в области разведки и добычи;</w:t>
      </w:r>
    </w:p>
    <w:p w14:paraId="2C0827DC" w14:textId="196E7841" w:rsidR="00717A33" w:rsidRDefault="00717A33" w:rsidP="00717A33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17A33">
        <w:rPr>
          <w:rFonts w:ascii="Arial" w:hAnsi="Arial" w:cs="Arial"/>
          <w:sz w:val="24"/>
          <w:szCs w:val="24"/>
        </w:rPr>
        <w:t xml:space="preserve">омпания стала частью </w:t>
      </w:r>
      <w:r>
        <w:rPr>
          <w:rFonts w:ascii="Arial" w:hAnsi="Arial" w:cs="Arial"/>
          <w:sz w:val="24"/>
          <w:szCs w:val="24"/>
        </w:rPr>
        <w:t>одного из направлений т</w:t>
      </w:r>
      <w:r w:rsidRPr="00717A33">
        <w:rPr>
          <w:rFonts w:ascii="Arial" w:hAnsi="Arial" w:cs="Arial"/>
          <w:sz w:val="24"/>
          <w:szCs w:val="24"/>
        </w:rPr>
        <w:t>ехнологическ</w:t>
      </w:r>
      <w:r>
        <w:rPr>
          <w:rFonts w:ascii="Arial" w:hAnsi="Arial" w:cs="Arial"/>
          <w:sz w:val="24"/>
          <w:szCs w:val="24"/>
        </w:rPr>
        <w:t>ого</w:t>
      </w:r>
      <w:r w:rsidRPr="00717A33">
        <w:rPr>
          <w:rFonts w:ascii="Arial" w:hAnsi="Arial" w:cs="Arial"/>
          <w:sz w:val="24"/>
          <w:szCs w:val="24"/>
        </w:rPr>
        <w:t xml:space="preserve"> консорциум</w:t>
      </w:r>
      <w:r>
        <w:rPr>
          <w:rFonts w:ascii="Arial" w:hAnsi="Arial" w:cs="Arial"/>
          <w:sz w:val="24"/>
          <w:szCs w:val="24"/>
        </w:rPr>
        <w:t>а</w:t>
      </w:r>
      <w:r w:rsidRPr="00717A33">
        <w:rPr>
          <w:rFonts w:ascii="Arial" w:hAnsi="Arial" w:cs="Arial"/>
          <w:sz w:val="24"/>
          <w:szCs w:val="24"/>
        </w:rPr>
        <w:t xml:space="preserve"> The Open Group</w:t>
      </w:r>
      <w:r>
        <w:rPr>
          <w:rFonts w:ascii="Arial" w:hAnsi="Arial" w:cs="Arial"/>
          <w:sz w:val="24"/>
          <w:szCs w:val="24"/>
        </w:rPr>
        <w:t xml:space="preserve"> </w:t>
      </w:r>
      <w:r w:rsidRPr="00717A3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17A33">
        <w:rPr>
          <w:rFonts w:ascii="Arial" w:hAnsi="Arial" w:cs="Arial"/>
          <w:sz w:val="24"/>
          <w:szCs w:val="24"/>
        </w:rPr>
        <w:t xml:space="preserve">Open Subsurface Data Universe </w:t>
      </w:r>
      <w:r>
        <w:rPr>
          <w:rFonts w:ascii="Arial" w:hAnsi="Arial" w:cs="Arial"/>
          <w:sz w:val="24"/>
          <w:szCs w:val="24"/>
        </w:rPr>
        <w:t>(</w:t>
      </w:r>
      <w:r w:rsidRPr="00717A33">
        <w:rPr>
          <w:rFonts w:ascii="Arial" w:hAnsi="Arial" w:cs="Arial"/>
          <w:sz w:val="24"/>
          <w:szCs w:val="24"/>
        </w:rPr>
        <w:t>OSDU</w:t>
      </w:r>
      <w:r>
        <w:rPr>
          <w:rFonts w:ascii="Arial" w:hAnsi="Arial" w:cs="Arial"/>
          <w:sz w:val="24"/>
          <w:szCs w:val="24"/>
        </w:rPr>
        <w:t xml:space="preserve">) </w:t>
      </w:r>
      <w:r w:rsidRPr="00717A33">
        <w:rPr>
          <w:rFonts w:ascii="Arial" w:hAnsi="Arial" w:cs="Arial"/>
          <w:sz w:val="24"/>
          <w:szCs w:val="24"/>
        </w:rPr>
        <w:t>– и готова осуществлять проектн</w:t>
      </w:r>
      <w:r w:rsidR="007A6951">
        <w:rPr>
          <w:rFonts w:ascii="Arial" w:hAnsi="Arial" w:cs="Arial"/>
          <w:sz w:val="24"/>
          <w:szCs w:val="24"/>
        </w:rPr>
        <w:t>ые</w:t>
      </w:r>
      <w:r w:rsidRPr="00717A33">
        <w:rPr>
          <w:rFonts w:ascii="Arial" w:hAnsi="Arial" w:cs="Arial"/>
          <w:sz w:val="24"/>
          <w:szCs w:val="24"/>
        </w:rPr>
        <w:t xml:space="preserve"> и консалтинговые работ</w:t>
      </w:r>
      <w:r w:rsidR="007A6951">
        <w:rPr>
          <w:rFonts w:ascii="Arial" w:hAnsi="Arial" w:cs="Arial"/>
          <w:sz w:val="24"/>
          <w:szCs w:val="24"/>
        </w:rPr>
        <w:t xml:space="preserve">ы </w:t>
      </w:r>
      <w:r>
        <w:rPr>
          <w:rFonts w:ascii="Arial" w:hAnsi="Arial" w:cs="Arial"/>
          <w:sz w:val="24"/>
          <w:szCs w:val="24"/>
        </w:rPr>
        <w:t>в этой области</w:t>
      </w:r>
      <w:r w:rsidRPr="00717A33">
        <w:rPr>
          <w:rFonts w:ascii="Arial" w:hAnsi="Arial" w:cs="Arial"/>
          <w:sz w:val="24"/>
          <w:szCs w:val="24"/>
        </w:rPr>
        <w:t>, опира</w:t>
      </w:r>
      <w:r w:rsidR="00FC1F81">
        <w:rPr>
          <w:rFonts w:ascii="Arial" w:hAnsi="Arial" w:cs="Arial"/>
          <w:sz w:val="24"/>
          <w:szCs w:val="24"/>
        </w:rPr>
        <w:t xml:space="preserve">ясь </w:t>
      </w:r>
      <w:r w:rsidRPr="00717A33">
        <w:rPr>
          <w:rFonts w:ascii="Arial" w:hAnsi="Arial" w:cs="Arial"/>
          <w:sz w:val="24"/>
          <w:szCs w:val="24"/>
        </w:rPr>
        <w:t>на международные промышленные стандарты;</w:t>
      </w:r>
    </w:p>
    <w:p w14:paraId="4FEDDF50" w14:textId="558DEF5A" w:rsidR="00717A33" w:rsidRPr="00717A33" w:rsidRDefault="00FC1F81" w:rsidP="00717A33">
      <w:pPr>
        <w:pStyle w:val="ab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717A33" w:rsidRPr="00717A33">
        <w:rPr>
          <w:rFonts w:ascii="Arial" w:hAnsi="Arial" w:cs="Arial"/>
          <w:sz w:val="24"/>
          <w:szCs w:val="24"/>
        </w:rPr>
        <w:t xml:space="preserve">а первый год работы компании удалось выйти на уровень прибыльности бизнеса. </w:t>
      </w:r>
    </w:p>
    <w:p w14:paraId="739CE955" w14:textId="3FE3351B" w:rsidR="00717A33" w:rsidRPr="00717A33" w:rsidRDefault="00717A33" w:rsidP="00717A3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7A33">
        <w:rPr>
          <w:rFonts w:ascii="Arial" w:hAnsi="Arial" w:cs="Arial"/>
          <w:sz w:val="24"/>
          <w:szCs w:val="24"/>
        </w:rPr>
        <w:t>«</w:t>
      </w:r>
      <w:r w:rsidRPr="00FC1F81">
        <w:rPr>
          <w:rFonts w:ascii="Arial" w:hAnsi="Arial" w:cs="Arial"/>
          <w:i/>
          <w:iCs/>
          <w:sz w:val="24"/>
          <w:szCs w:val="24"/>
        </w:rPr>
        <w:t>Nedra достигла высоких результатов по итогам первого года работы</w:t>
      </w:r>
      <w:r w:rsidRPr="00717A33">
        <w:rPr>
          <w:rFonts w:ascii="Arial" w:hAnsi="Arial" w:cs="Arial"/>
          <w:sz w:val="24"/>
          <w:szCs w:val="24"/>
        </w:rPr>
        <w:t xml:space="preserve">, </w:t>
      </w:r>
      <w:r w:rsidR="00FC1F81" w:rsidRPr="00717A33">
        <w:rPr>
          <w:rFonts w:ascii="Arial" w:hAnsi="Arial" w:cs="Arial"/>
          <w:sz w:val="24"/>
          <w:szCs w:val="24"/>
        </w:rPr>
        <w:t>–</w:t>
      </w:r>
      <w:r w:rsidRPr="00717A33">
        <w:rPr>
          <w:rFonts w:ascii="Arial" w:hAnsi="Arial" w:cs="Arial"/>
          <w:sz w:val="24"/>
          <w:szCs w:val="24"/>
        </w:rPr>
        <w:t xml:space="preserve"> отмечает </w:t>
      </w:r>
      <w:r w:rsidRPr="00FC1F81">
        <w:rPr>
          <w:rFonts w:ascii="Arial" w:hAnsi="Arial" w:cs="Arial"/>
          <w:b/>
          <w:bCs/>
          <w:sz w:val="24"/>
          <w:szCs w:val="24"/>
        </w:rPr>
        <w:t>генеральный директор Nedra Эдуард Ашрафьян</w:t>
      </w:r>
      <w:r w:rsidRPr="00717A33">
        <w:rPr>
          <w:rFonts w:ascii="Arial" w:hAnsi="Arial" w:cs="Arial"/>
          <w:sz w:val="24"/>
          <w:szCs w:val="24"/>
        </w:rPr>
        <w:t>.</w:t>
      </w:r>
      <w:r w:rsidR="00FC1F81">
        <w:rPr>
          <w:rFonts w:ascii="Arial" w:hAnsi="Arial" w:cs="Arial"/>
          <w:sz w:val="24"/>
          <w:szCs w:val="24"/>
        </w:rPr>
        <w:t xml:space="preserve"> </w:t>
      </w:r>
      <w:r w:rsidR="00FC1F81" w:rsidRPr="00717A33">
        <w:rPr>
          <w:rFonts w:ascii="Arial" w:hAnsi="Arial" w:cs="Arial"/>
          <w:sz w:val="24"/>
          <w:szCs w:val="24"/>
        </w:rPr>
        <w:t>–</w:t>
      </w:r>
      <w:r w:rsidRPr="00717A33">
        <w:rPr>
          <w:rFonts w:ascii="Arial" w:hAnsi="Arial" w:cs="Arial"/>
          <w:sz w:val="24"/>
          <w:szCs w:val="24"/>
        </w:rPr>
        <w:t xml:space="preserve"> </w:t>
      </w:r>
      <w:r w:rsidRPr="00FC1F81">
        <w:rPr>
          <w:rFonts w:ascii="Arial" w:hAnsi="Arial" w:cs="Arial"/>
          <w:i/>
          <w:iCs/>
          <w:sz w:val="24"/>
          <w:szCs w:val="24"/>
        </w:rPr>
        <w:t>За короткий срок внутри предприятия сформирована уникальная экспертиза по разработке решений для цифровой трансформации, внедрены основные производственные и сервисные бизнес-процессы. Часть реализованных проектов подготовлена для продуктивизации, и мы ведем переговоры о первых внедрениях с потенциальными клиентами как на территории России, так и в странах ближнего зарубежья. Кроме того, нашему молодому предприятию удалось за первый год выйти на безубыточность, показав прибыль»</w:t>
      </w:r>
      <w:r w:rsidR="00FC1F81">
        <w:rPr>
          <w:rFonts w:ascii="Arial" w:hAnsi="Arial" w:cs="Arial"/>
          <w:sz w:val="24"/>
          <w:szCs w:val="24"/>
        </w:rPr>
        <w:t>.</w:t>
      </w:r>
      <w:r w:rsidRPr="00717A33">
        <w:rPr>
          <w:rFonts w:ascii="Arial" w:hAnsi="Arial" w:cs="Arial"/>
          <w:sz w:val="24"/>
          <w:szCs w:val="24"/>
        </w:rPr>
        <w:t xml:space="preserve"> </w:t>
      </w:r>
    </w:p>
    <w:p w14:paraId="65B069F2" w14:textId="6A5F8314" w:rsidR="00717A33" w:rsidRPr="00717A33" w:rsidRDefault="00717A33" w:rsidP="00717A3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7A33">
        <w:rPr>
          <w:rFonts w:ascii="Arial" w:hAnsi="Arial" w:cs="Arial"/>
          <w:sz w:val="24"/>
          <w:szCs w:val="24"/>
        </w:rPr>
        <w:t>Nedra специализируется на разработке и внедрении решений для цифровизации нефтегазовой промышленности с применением технологий Индустрии 4.0. Проекты компании связаны с автоматизацией геологоразведки и нефтедобычи, в них используются</w:t>
      </w:r>
      <w:r w:rsidR="00FC1F81">
        <w:rPr>
          <w:rFonts w:ascii="Arial" w:hAnsi="Arial" w:cs="Arial"/>
          <w:sz w:val="24"/>
          <w:szCs w:val="24"/>
        </w:rPr>
        <w:t xml:space="preserve"> технологии</w:t>
      </w:r>
      <w:r w:rsidRPr="00717A33">
        <w:rPr>
          <w:rFonts w:ascii="Arial" w:hAnsi="Arial" w:cs="Arial"/>
          <w:sz w:val="24"/>
          <w:szCs w:val="24"/>
        </w:rPr>
        <w:t xml:space="preserve"> нейронны</w:t>
      </w:r>
      <w:r w:rsidR="00FC1F81">
        <w:rPr>
          <w:rFonts w:ascii="Arial" w:hAnsi="Arial" w:cs="Arial"/>
          <w:sz w:val="24"/>
          <w:szCs w:val="24"/>
        </w:rPr>
        <w:t xml:space="preserve">х </w:t>
      </w:r>
      <w:r w:rsidRPr="00717A33">
        <w:rPr>
          <w:rFonts w:ascii="Arial" w:hAnsi="Arial" w:cs="Arial"/>
          <w:sz w:val="24"/>
          <w:szCs w:val="24"/>
        </w:rPr>
        <w:t>сет</w:t>
      </w:r>
      <w:r w:rsidR="00FC1F81">
        <w:rPr>
          <w:rFonts w:ascii="Arial" w:hAnsi="Arial" w:cs="Arial"/>
          <w:sz w:val="24"/>
          <w:szCs w:val="24"/>
        </w:rPr>
        <w:t>ей</w:t>
      </w:r>
      <w:r w:rsidRPr="00717A33">
        <w:rPr>
          <w:rFonts w:ascii="Arial" w:hAnsi="Arial" w:cs="Arial"/>
          <w:sz w:val="24"/>
          <w:szCs w:val="24"/>
        </w:rPr>
        <w:t xml:space="preserve"> и машинно</w:t>
      </w:r>
      <w:r w:rsidR="00FC1F81">
        <w:rPr>
          <w:rFonts w:ascii="Arial" w:hAnsi="Arial" w:cs="Arial"/>
          <w:sz w:val="24"/>
          <w:szCs w:val="24"/>
        </w:rPr>
        <w:t xml:space="preserve">го </w:t>
      </w:r>
      <w:r w:rsidRPr="00717A33">
        <w:rPr>
          <w:rFonts w:ascii="Arial" w:hAnsi="Arial" w:cs="Arial"/>
          <w:sz w:val="24"/>
          <w:szCs w:val="24"/>
        </w:rPr>
        <w:t>обучени</w:t>
      </w:r>
      <w:r w:rsidR="00FC1F81">
        <w:rPr>
          <w:rFonts w:ascii="Arial" w:hAnsi="Arial" w:cs="Arial"/>
          <w:sz w:val="24"/>
          <w:szCs w:val="24"/>
        </w:rPr>
        <w:t>я</w:t>
      </w:r>
      <w:r w:rsidRPr="00717A33">
        <w:rPr>
          <w:rFonts w:ascii="Arial" w:hAnsi="Arial" w:cs="Arial"/>
          <w:sz w:val="24"/>
          <w:szCs w:val="24"/>
        </w:rPr>
        <w:t>.</w:t>
      </w:r>
    </w:p>
    <w:p w14:paraId="3BDD63B9" w14:textId="2B69FC30" w:rsidR="00717A33" w:rsidRPr="00717A33" w:rsidRDefault="00717A33" w:rsidP="00717A3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7A33">
        <w:rPr>
          <w:rFonts w:ascii="Arial" w:hAnsi="Arial" w:cs="Arial"/>
          <w:sz w:val="24"/>
          <w:szCs w:val="24"/>
        </w:rPr>
        <w:t>О создании компании было объявлено в декабре 2019 года. Проект реализуется при поддержке</w:t>
      </w:r>
      <w:r w:rsidR="00FC1F81">
        <w:rPr>
          <w:rFonts w:ascii="Arial" w:hAnsi="Arial" w:cs="Arial"/>
          <w:sz w:val="24"/>
          <w:szCs w:val="24"/>
        </w:rPr>
        <w:t xml:space="preserve"> </w:t>
      </w:r>
      <w:r w:rsidRPr="00717A33">
        <w:rPr>
          <w:rFonts w:ascii="Arial" w:hAnsi="Arial" w:cs="Arial"/>
          <w:sz w:val="24"/>
          <w:szCs w:val="24"/>
        </w:rPr>
        <w:t>Nexign (входит в «ИКС Холдинг»), с которой команда совместного предприятия выстроила конвейер CI/CD</w:t>
      </w:r>
      <w:r w:rsidR="00C64C5B">
        <w:rPr>
          <w:rFonts w:ascii="Arial" w:hAnsi="Arial" w:cs="Arial"/>
          <w:sz w:val="24"/>
          <w:szCs w:val="24"/>
        </w:rPr>
        <w:t xml:space="preserve"> (</w:t>
      </w:r>
      <w:r w:rsidR="00C64C5B" w:rsidRPr="00C64C5B">
        <w:rPr>
          <w:rFonts w:ascii="Arial" w:hAnsi="Arial" w:cs="Arial"/>
          <w:sz w:val="24"/>
          <w:szCs w:val="24"/>
        </w:rPr>
        <w:t>Continuous Integration</w:t>
      </w:r>
      <w:r w:rsidR="00C64C5B">
        <w:rPr>
          <w:rFonts w:ascii="Arial" w:hAnsi="Arial" w:cs="Arial"/>
          <w:sz w:val="24"/>
          <w:szCs w:val="24"/>
        </w:rPr>
        <w:t>/</w:t>
      </w:r>
      <w:r w:rsidR="00C64C5B" w:rsidRPr="00C64C5B">
        <w:rPr>
          <w:rFonts w:ascii="Arial" w:hAnsi="Arial" w:cs="Arial"/>
          <w:sz w:val="24"/>
          <w:szCs w:val="24"/>
        </w:rPr>
        <w:t>Continuous Delivery</w:t>
      </w:r>
      <w:r w:rsidR="00C64C5B">
        <w:rPr>
          <w:rFonts w:ascii="Arial" w:hAnsi="Arial" w:cs="Arial"/>
          <w:sz w:val="24"/>
          <w:szCs w:val="24"/>
        </w:rPr>
        <w:t>)</w:t>
      </w:r>
      <w:r w:rsidRPr="00717A33">
        <w:rPr>
          <w:rFonts w:ascii="Arial" w:hAnsi="Arial" w:cs="Arial"/>
          <w:sz w:val="24"/>
          <w:szCs w:val="24"/>
        </w:rPr>
        <w:t xml:space="preserve">, организовала современный процесс гибкого проектного управления разработкой и приступила к активной работе над новыми решениями. </w:t>
      </w:r>
    </w:p>
    <w:p w14:paraId="37477EE2" w14:textId="4681092B" w:rsidR="00717A33" w:rsidRPr="00717A33" w:rsidRDefault="00717A33" w:rsidP="00717A3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7A33">
        <w:rPr>
          <w:rFonts w:ascii="Arial" w:hAnsi="Arial" w:cs="Arial"/>
          <w:sz w:val="24"/>
          <w:szCs w:val="24"/>
        </w:rPr>
        <w:lastRenderedPageBreak/>
        <w:t xml:space="preserve">Сейчас в портфеле компании более двух десятков проектов. Наиболее крупные и заметные из них </w:t>
      </w:r>
      <w:r w:rsidR="00C64C5B" w:rsidRPr="00717A33">
        <w:rPr>
          <w:rFonts w:ascii="Arial" w:hAnsi="Arial" w:cs="Arial"/>
          <w:sz w:val="24"/>
          <w:szCs w:val="24"/>
        </w:rPr>
        <w:t>–</w:t>
      </w:r>
      <w:r w:rsidRPr="00717A33">
        <w:rPr>
          <w:rFonts w:ascii="Arial" w:hAnsi="Arial" w:cs="Arial"/>
          <w:sz w:val="24"/>
          <w:szCs w:val="24"/>
        </w:rPr>
        <w:t xml:space="preserve"> платформа управления индустриальными данными на базе стандартов OSDU и платформа видеоаналитики. </w:t>
      </w:r>
    </w:p>
    <w:p w14:paraId="4CDB734D" w14:textId="77777777" w:rsidR="00717A33" w:rsidRPr="00717A33" w:rsidRDefault="00717A33" w:rsidP="00717A3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7A33">
        <w:rPr>
          <w:rFonts w:ascii="Arial" w:hAnsi="Arial" w:cs="Arial"/>
          <w:sz w:val="24"/>
          <w:szCs w:val="24"/>
        </w:rPr>
        <w:t xml:space="preserve">Nedra вошла в консорциум OSDU Forum (Open Subsurface Data Universe Standards Forum), занимающийся разработкой индустриальных стандартов по управлению данными для компаний-недропользователей. Это позволит подготовить решения Nedra к выводу на глобальный рынок. </w:t>
      </w:r>
    </w:p>
    <w:p w14:paraId="07E19A02" w14:textId="65C27953" w:rsidR="00EC2B39" w:rsidRDefault="00717A33" w:rsidP="00717A3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17A33">
        <w:rPr>
          <w:rFonts w:ascii="Arial" w:hAnsi="Arial" w:cs="Arial"/>
          <w:sz w:val="24"/>
          <w:szCs w:val="24"/>
        </w:rPr>
        <w:t xml:space="preserve">Значительные усилия команда Nedra прикладывает для формирования HR-бренда и корпоративной культуры. Ведется работа с вузами, действует программа стажировок для молодых специалистов. </w:t>
      </w:r>
      <w:r w:rsidR="00C64C5B">
        <w:rPr>
          <w:rFonts w:ascii="Arial" w:hAnsi="Arial" w:cs="Arial"/>
          <w:sz w:val="24"/>
          <w:szCs w:val="24"/>
        </w:rPr>
        <w:t>Одиннадцать</w:t>
      </w:r>
      <w:r w:rsidRPr="00717A33">
        <w:rPr>
          <w:rFonts w:ascii="Arial" w:hAnsi="Arial" w:cs="Arial"/>
          <w:sz w:val="24"/>
          <w:szCs w:val="24"/>
        </w:rPr>
        <w:t xml:space="preserve"> студентов профильных институтов получают свой первый опыт работы в Nedra.</w:t>
      </w:r>
    </w:p>
    <w:p w14:paraId="70B563DA" w14:textId="77777777" w:rsidR="00C64C5B" w:rsidRPr="00717A33" w:rsidRDefault="00C64C5B" w:rsidP="00717A33">
      <w:pPr>
        <w:spacing w:before="120" w:after="0" w:line="240" w:lineRule="auto"/>
        <w:jc w:val="both"/>
        <w:rPr>
          <w:rFonts w:ascii="Arial" w:hAnsi="Arial" w:cs="Arial"/>
        </w:rPr>
      </w:pPr>
    </w:p>
    <w:p w14:paraId="36BA19C6" w14:textId="79C4A850" w:rsidR="003A635F" w:rsidRPr="00C64C5B" w:rsidRDefault="00C64C5B" w:rsidP="00C64C5B">
      <w:pPr>
        <w:spacing w:before="120" w:after="0" w:line="240" w:lineRule="auto"/>
        <w:ind w:hanging="35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A4B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 *  *</w:t>
      </w:r>
    </w:p>
    <w:p w14:paraId="1100E363" w14:textId="1D5CA39A" w:rsidR="00C64C5B" w:rsidRPr="00820F4A" w:rsidRDefault="00C64C5B" w:rsidP="00820F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820F4A">
        <w:rPr>
          <w:rFonts w:ascii="Arial" w:hAnsi="Arial" w:cs="Arial"/>
          <w:b/>
          <w:bCs/>
          <w:color w:val="808080" w:themeColor="background1" w:themeShade="80"/>
          <w:kern w:val="32"/>
          <w:sz w:val="18"/>
          <w:szCs w:val="18"/>
        </w:rPr>
        <w:t>Nedra</w:t>
      </w:r>
      <w:r w:rsidR="00F02547">
        <w:rPr>
          <w:rFonts w:ascii="Arial" w:hAnsi="Arial" w:cs="Arial"/>
          <w:b/>
          <w:bCs/>
          <w:color w:val="808080" w:themeColor="background1" w:themeShade="80"/>
          <w:kern w:val="32"/>
          <w:sz w:val="18"/>
          <w:szCs w:val="18"/>
        </w:rPr>
        <w:t xml:space="preserve"> </w:t>
      </w:r>
      <w:r w:rsidR="00F02547" w:rsidRPr="00F02547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(</w:t>
      </w:r>
      <w:hyperlink r:id="rId7" w:history="1">
        <w:r w:rsidR="00F02547" w:rsidRPr="00F02547">
          <w:rPr>
            <w:rFonts w:ascii="Arial" w:hAnsi="Arial" w:cs="Arial"/>
            <w:color w:val="808080" w:themeColor="background1" w:themeShade="80"/>
            <w:sz w:val="18"/>
            <w:szCs w:val="18"/>
          </w:rPr>
          <w:t>https://nedra.digital/</w:t>
        </w:r>
      </w:hyperlink>
      <w:r w:rsidR="00F02547" w:rsidRPr="00F02547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)</w:t>
      </w: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 xml:space="preserve"> — совместное предприятие «ИКС Холдинг</w:t>
      </w:r>
      <w:r w:rsid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а</w:t>
      </w: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» и «‎Газпром нефт</w:t>
      </w:r>
      <w:r w:rsid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и</w:t>
      </w: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», образованное в 2019 году.  Nedra помогает в цифровой трансформации нефтегазовой индустрии в России и мире.</w:t>
      </w:r>
    </w:p>
    <w:p w14:paraId="6A200E86" w14:textId="393C92EC" w:rsidR="00C64C5B" w:rsidRPr="00820F4A" w:rsidRDefault="00C64C5B" w:rsidP="00820F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Компания разрабатывает и внедряет современные технологичные продукты, которые необходимы для автоматизации процессов в сферах геологоразведки, бурения, нефтедобычи и логистики. Цель Nedra – дать возможность компаниям строить бизнес-процессы на основе данных и AI-моделей. Подробнее узнать о компетенциях и решениях Nedra можно на сайте</w:t>
      </w:r>
      <w:r w:rsidR="00F02547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 xml:space="preserve"> компании</w:t>
      </w: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.</w:t>
      </w:r>
    </w:p>
    <w:p w14:paraId="4CF7CA23" w14:textId="33BB6B2B" w:rsidR="00C64C5B" w:rsidRPr="00820F4A" w:rsidRDefault="00C64C5B" w:rsidP="00C64C5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</w:p>
    <w:p w14:paraId="380B1003" w14:textId="01E3FE1F" w:rsidR="00C64C5B" w:rsidRPr="00820F4A" w:rsidRDefault="00C64C5B" w:rsidP="00C64C5B">
      <w:pPr>
        <w:spacing w:before="120" w:after="0" w:line="240" w:lineRule="auto"/>
        <w:ind w:hanging="35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20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 *  *</w:t>
      </w:r>
    </w:p>
    <w:p w14:paraId="787C9306" w14:textId="2B79B48B" w:rsidR="00600B3D" w:rsidRDefault="00C64C5B" w:rsidP="00820F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820F4A">
        <w:rPr>
          <w:rFonts w:ascii="Arial" w:hAnsi="Arial" w:cs="Arial"/>
          <w:b/>
          <w:bCs/>
          <w:color w:val="808080" w:themeColor="background1" w:themeShade="80"/>
          <w:kern w:val="32"/>
          <w:sz w:val="18"/>
          <w:szCs w:val="18"/>
        </w:rPr>
        <w:t>ПАО «Газпром нефть»</w:t>
      </w:r>
      <w:r w:rsidR="00B46270">
        <w:rPr>
          <w:rFonts w:ascii="Arial" w:hAnsi="Arial" w:cs="Arial"/>
          <w:b/>
          <w:bCs/>
          <w:color w:val="808080" w:themeColor="background1" w:themeShade="80"/>
          <w:kern w:val="32"/>
          <w:sz w:val="18"/>
          <w:szCs w:val="18"/>
        </w:rPr>
        <w:t xml:space="preserve"> </w:t>
      </w:r>
      <w:r w:rsidR="00B46270" w:rsidRPr="00B46270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(https://www.gazprom-neft.ru/)</w:t>
      </w: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 – вертикально-интегрированная нефтяная компания. Основные виды деятельности – разведка и разработка месторождений нефти и газа, нефтепереработка, производство и сбыт нефтепродуктов. В структуру «Газпром нефти» входят более 70 нефтедобывающих, нефтеперерабатывающих и сбытовых предприятий в России, странах ближнего и дальнего зарубежья.</w:t>
      </w:r>
    </w:p>
    <w:p w14:paraId="792C8723" w14:textId="0773B88D" w:rsidR="00820F4A" w:rsidRPr="00820F4A" w:rsidRDefault="00820F4A" w:rsidP="00820F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По состоянию на 31 декабря 2020 года суммарные запасы углеводородов «Газпром нефти» (с учетом доли в совместных предприятиях) категорий «доказанные» и «вероятные» (рrоvеd+рrоbаblе — 2P) международного стандарта SРЕ-РRМS составили 3,9 млрд тонн н.э. Обеспеченность добычи компании углеводородами достигла 22 лет. По объему добычи углеводородов «Газпром нефть» входит в тройку крупнейших компаний России.</w:t>
      </w:r>
    </w:p>
    <w:p w14:paraId="4F37514E" w14:textId="749A2902" w:rsidR="00820F4A" w:rsidRPr="00820F4A" w:rsidRDefault="00820F4A" w:rsidP="00820F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 xml:space="preserve">«Газпром нефть» ведет работу в крупнейших российских нефтегазоносных регионах: Ханты-Мансийском и Ямало-Ненецком автономных округах, Томской, Омской, Оренбургской областях, </w:t>
      </w:r>
      <w:r w:rsidR="00B46270"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Республике Саха</w:t>
      </w: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. Кроме того, «Газпром нефть» реализует проекты в сфере добычи за пределами России: в Сербии, Ираке, Венесуэле и других странах.</w:t>
      </w:r>
    </w:p>
    <w:p w14:paraId="404818A7" w14:textId="7535E325" w:rsidR="00820F4A" w:rsidRPr="00820F4A" w:rsidRDefault="00820F4A" w:rsidP="00820F4A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820F4A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По итогам 2020 года чистая прибыль «Газпром нефти» составила 117,7 млрд рублей. Несмотря на высокую волатильность рынка и резкое ухудшение конъюнктуры, компания со второго по четвертый квартал демонстрировала последовательный рост чистой прибыли. Скорректированная ЕВIТDА составила 485,2 млрд руб.</w:t>
      </w:r>
    </w:p>
    <w:p w14:paraId="0A7C712D" w14:textId="77777777" w:rsidR="00C64C5B" w:rsidRPr="00820F4A" w:rsidRDefault="00C64C5B" w:rsidP="00C64C5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</w:p>
    <w:p w14:paraId="3B637D30" w14:textId="2972CED5" w:rsidR="00AE5049" w:rsidRPr="00820F4A" w:rsidRDefault="00353BCE" w:rsidP="00AE5049">
      <w:pPr>
        <w:spacing w:before="120" w:after="0" w:line="240" w:lineRule="auto"/>
        <w:ind w:hanging="35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20F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 *  *</w:t>
      </w:r>
    </w:p>
    <w:p w14:paraId="50323C3C" w14:textId="28106917" w:rsidR="00820F4A" w:rsidRPr="00557655" w:rsidRDefault="00820F4A" w:rsidP="00820F4A">
      <w:pPr>
        <w:widowControl w:val="0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557655">
        <w:rPr>
          <w:rFonts w:ascii="Arial" w:hAnsi="Arial" w:cs="Arial"/>
          <w:b/>
          <w:bCs/>
          <w:color w:val="808080" w:themeColor="background1" w:themeShade="80"/>
          <w:kern w:val="32"/>
          <w:sz w:val="18"/>
          <w:szCs w:val="18"/>
        </w:rPr>
        <w:t xml:space="preserve">«ИКС Холдинг» </w:t>
      </w:r>
      <w:r w:rsidRPr="00557655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 xml:space="preserve">(https://x-holding.ru/) – многопрофильная ИТ-группа, занимающая ведущие позиции на рынке разработки технологий и ИТ-сервисов. Холдинг является крупнейшим поставщиком ИТ для операторов связи и одним из самых быстрорастущих ИТ-холдингов на российском рынке, входит в ТОП-3 ведущих ИТ-разработчиков России, в ТОП-10 крупнейших ИТ-компаний страны, ТОП-10 поставщиков оборудования для промышленного сектора и ТОП-25 самых эффективных российских ИТ-компаний. Под управлением Холдинга находятся более 30 компаний, объединенных в пять субхолдингов: YADRO, Nexign, «Цитадель», «Криптонит» и «Форпост». Также под управлением Холдинга работают несколько совместных предприятий, включая компании «Недра», «ИТ-просвещение» и «КорКласс». </w:t>
      </w:r>
    </w:p>
    <w:p w14:paraId="036372DA" w14:textId="189C5373" w:rsidR="00820F4A" w:rsidRPr="00557655" w:rsidRDefault="00820F4A" w:rsidP="00820F4A">
      <w:pPr>
        <w:widowControl w:val="0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557655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Приоритетные направления деятельности компаний «ИКС Холдинга» – цифровая трансформация крупных предприятий, информационная безопасность, разработка систем хранения данных, криптография и квантовые вычисления, машинное обучение и нейросети, технологии блокчейн и искусственный интеллект. География бизнеса группы охватывает все регионы России и ряд стран ближнего и дальнего зарубежья.</w:t>
      </w:r>
    </w:p>
    <w:p w14:paraId="5A2D30A3" w14:textId="403A302E" w:rsidR="00820F4A" w:rsidRPr="00557655" w:rsidRDefault="00820F4A" w:rsidP="00820F4A">
      <w:pPr>
        <w:widowControl w:val="0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557655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 xml:space="preserve">В компаниях «ИКС Холдинга» работают свыше 6000 сотрудников. В странах России и зарубежья реализовано более 120 глобальных проектов, более 1000 клиентов Холдинга работают в 20 странах мира. Совокупная </w:t>
      </w:r>
      <w:r w:rsidRPr="00557655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lastRenderedPageBreak/>
        <w:t xml:space="preserve">выручка компаний Холдинга за 2020 год составила 88,5 млрд рублей. Партнерская сеть «ИКС Холдинга» включает свыше 50 крупных предприятий в России и за ее пределами.  </w:t>
      </w:r>
    </w:p>
    <w:p w14:paraId="12AFBACE" w14:textId="77777777" w:rsidR="00820F4A" w:rsidRDefault="00820F4A" w:rsidP="00820F4A">
      <w:pPr>
        <w:widowControl w:val="0"/>
        <w:jc w:val="both"/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</w:pPr>
      <w:r w:rsidRPr="00557655">
        <w:rPr>
          <w:rFonts w:ascii="Arial" w:hAnsi="Arial" w:cs="Arial"/>
          <w:color w:val="808080" w:themeColor="background1" w:themeShade="80"/>
          <w:kern w:val="32"/>
          <w:sz w:val="18"/>
          <w:szCs w:val="18"/>
        </w:rPr>
        <w:t>15 сентября 2020 года «ИКС Холдинг» вошел в состав «ЮэСэМ Телеком».</w:t>
      </w:r>
    </w:p>
    <w:p w14:paraId="387A4DA1" w14:textId="77777777" w:rsidR="00353BCE" w:rsidRPr="00820F4A" w:rsidRDefault="00353BCE" w:rsidP="00353BCE">
      <w:pPr>
        <w:spacing w:after="240" w:line="240" w:lineRule="auto"/>
        <w:rPr>
          <w:rFonts w:ascii="Arial" w:hAnsi="Arial" w:cs="Arial"/>
          <w:sz w:val="18"/>
          <w:szCs w:val="18"/>
        </w:rPr>
      </w:pPr>
    </w:p>
    <w:p w14:paraId="00ECE932" w14:textId="76BB77D4" w:rsidR="00041388" w:rsidRPr="00FA4B2E" w:rsidRDefault="00041388" w:rsidP="00EE2EE0">
      <w:pPr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041388" w:rsidRPr="00FA4B2E" w:rsidSect="00A91179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FD9E" w14:textId="77777777" w:rsidR="00800B91" w:rsidRDefault="00800B91" w:rsidP="00764DB8">
      <w:pPr>
        <w:spacing w:after="0" w:line="240" w:lineRule="auto"/>
      </w:pPr>
      <w:r>
        <w:separator/>
      </w:r>
    </w:p>
  </w:endnote>
  <w:endnote w:type="continuationSeparator" w:id="0">
    <w:p w14:paraId="7C606778" w14:textId="77777777" w:rsidR="00800B91" w:rsidRDefault="00800B91" w:rsidP="0076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42B9" w14:textId="77777777" w:rsidR="00800B91" w:rsidRDefault="00800B91" w:rsidP="00764DB8">
      <w:pPr>
        <w:spacing w:after="0" w:line="240" w:lineRule="auto"/>
      </w:pPr>
      <w:r>
        <w:separator/>
      </w:r>
    </w:p>
  </w:footnote>
  <w:footnote w:type="continuationSeparator" w:id="0">
    <w:p w14:paraId="56EEE4B0" w14:textId="77777777" w:rsidR="00800B91" w:rsidRDefault="00800B91" w:rsidP="0076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AD89" w14:textId="33C0153E" w:rsidR="00A91179" w:rsidRDefault="00A91179" w:rsidP="00A91179">
    <w:pPr>
      <w:pStyle w:val="a4"/>
    </w:pPr>
    <w:r>
      <w:rPr>
        <w:noProof/>
        <w:lang w:eastAsia="ru-RU"/>
      </w:rPr>
      <w:drawing>
        <wp:inline distT="0" distB="0" distL="0" distR="0" wp14:anchorId="715A8B3B" wp14:editId="6AFBCDE7">
          <wp:extent cx="857379" cy="46672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C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487" cy="48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8BDFB" w14:textId="77777777" w:rsidR="00A91179" w:rsidRDefault="00A911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7EA"/>
    <w:multiLevelType w:val="hybridMultilevel"/>
    <w:tmpl w:val="9B50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AAC"/>
    <w:multiLevelType w:val="hybridMultilevel"/>
    <w:tmpl w:val="B156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83CFC"/>
    <w:multiLevelType w:val="hybridMultilevel"/>
    <w:tmpl w:val="96A2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96AD1"/>
    <w:multiLevelType w:val="hybridMultilevel"/>
    <w:tmpl w:val="4A48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959C6"/>
    <w:multiLevelType w:val="hybridMultilevel"/>
    <w:tmpl w:val="743E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5F2"/>
    <w:multiLevelType w:val="hybridMultilevel"/>
    <w:tmpl w:val="E170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B8"/>
    <w:rsid w:val="0002475E"/>
    <w:rsid w:val="0003352F"/>
    <w:rsid w:val="00033634"/>
    <w:rsid w:val="00041388"/>
    <w:rsid w:val="00045B45"/>
    <w:rsid w:val="00065612"/>
    <w:rsid w:val="00093D9C"/>
    <w:rsid w:val="000978F6"/>
    <w:rsid w:val="000B5EE2"/>
    <w:rsid w:val="000C606A"/>
    <w:rsid w:val="000D2C89"/>
    <w:rsid w:val="000D51DB"/>
    <w:rsid w:val="00127FE5"/>
    <w:rsid w:val="00135952"/>
    <w:rsid w:val="0016014C"/>
    <w:rsid w:val="0016024C"/>
    <w:rsid w:val="001618CF"/>
    <w:rsid w:val="001D7942"/>
    <w:rsid w:val="00213272"/>
    <w:rsid w:val="002246FB"/>
    <w:rsid w:val="0023295E"/>
    <w:rsid w:val="00257C9D"/>
    <w:rsid w:val="002749B6"/>
    <w:rsid w:val="00285725"/>
    <w:rsid w:val="002A28C3"/>
    <w:rsid w:val="002A3F1C"/>
    <w:rsid w:val="002B7F53"/>
    <w:rsid w:val="002E64A7"/>
    <w:rsid w:val="002E6E8C"/>
    <w:rsid w:val="003269FD"/>
    <w:rsid w:val="00353BCE"/>
    <w:rsid w:val="00383F9E"/>
    <w:rsid w:val="003A635F"/>
    <w:rsid w:val="003B734F"/>
    <w:rsid w:val="003C45A5"/>
    <w:rsid w:val="003D7971"/>
    <w:rsid w:val="003F2693"/>
    <w:rsid w:val="00402827"/>
    <w:rsid w:val="00410DC5"/>
    <w:rsid w:val="00450B22"/>
    <w:rsid w:val="00456DB9"/>
    <w:rsid w:val="00492FE5"/>
    <w:rsid w:val="00507D34"/>
    <w:rsid w:val="005157B1"/>
    <w:rsid w:val="00522B5B"/>
    <w:rsid w:val="005B1DFD"/>
    <w:rsid w:val="00600B3D"/>
    <w:rsid w:val="00603D4F"/>
    <w:rsid w:val="00631115"/>
    <w:rsid w:val="006422A9"/>
    <w:rsid w:val="0064596F"/>
    <w:rsid w:val="00665343"/>
    <w:rsid w:val="006A1848"/>
    <w:rsid w:val="006F45AF"/>
    <w:rsid w:val="006F560A"/>
    <w:rsid w:val="006F6C36"/>
    <w:rsid w:val="00717A33"/>
    <w:rsid w:val="007246CB"/>
    <w:rsid w:val="00731265"/>
    <w:rsid w:val="007400A0"/>
    <w:rsid w:val="00750F70"/>
    <w:rsid w:val="00764DB8"/>
    <w:rsid w:val="0077661A"/>
    <w:rsid w:val="00794BDD"/>
    <w:rsid w:val="007A0F5A"/>
    <w:rsid w:val="007A6951"/>
    <w:rsid w:val="007D2AAF"/>
    <w:rsid w:val="007E6F08"/>
    <w:rsid w:val="00800B91"/>
    <w:rsid w:val="00820F4A"/>
    <w:rsid w:val="008211F1"/>
    <w:rsid w:val="0082635D"/>
    <w:rsid w:val="00826994"/>
    <w:rsid w:val="00854F58"/>
    <w:rsid w:val="0086427B"/>
    <w:rsid w:val="0087746C"/>
    <w:rsid w:val="0088691A"/>
    <w:rsid w:val="008A5C78"/>
    <w:rsid w:val="008B3EC8"/>
    <w:rsid w:val="008E5864"/>
    <w:rsid w:val="0092589F"/>
    <w:rsid w:val="00955622"/>
    <w:rsid w:val="00966527"/>
    <w:rsid w:val="00967CA6"/>
    <w:rsid w:val="009815C4"/>
    <w:rsid w:val="009A0BD2"/>
    <w:rsid w:val="009D1793"/>
    <w:rsid w:val="009D6D14"/>
    <w:rsid w:val="009D6F7D"/>
    <w:rsid w:val="00A14CDD"/>
    <w:rsid w:val="00A524B9"/>
    <w:rsid w:val="00A67A1B"/>
    <w:rsid w:val="00A84604"/>
    <w:rsid w:val="00A91179"/>
    <w:rsid w:val="00AB5F76"/>
    <w:rsid w:val="00AD2414"/>
    <w:rsid w:val="00AD4D1F"/>
    <w:rsid w:val="00AE0614"/>
    <w:rsid w:val="00AE1A2D"/>
    <w:rsid w:val="00AE5049"/>
    <w:rsid w:val="00AE6FDA"/>
    <w:rsid w:val="00AF07C9"/>
    <w:rsid w:val="00AF7E17"/>
    <w:rsid w:val="00B03529"/>
    <w:rsid w:val="00B15C47"/>
    <w:rsid w:val="00B307B1"/>
    <w:rsid w:val="00B30A89"/>
    <w:rsid w:val="00B3271E"/>
    <w:rsid w:val="00B46270"/>
    <w:rsid w:val="00B776CD"/>
    <w:rsid w:val="00B77CA6"/>
    <w:rsid w:val="00C616F4"/>
    <w:rsid w:val="00C64C5B"/>
    <w:rsid w:val="00C6786A"/>
    <w:rsid w:val="00C83EB2"/>
    <w:rsid w:val="00CD2DC0"/>
    <w:rsid w:val="00CF7521"/>
    <w:rsid w:val="00D13BAD"/>
    <w:rsid w:val="00D30FCB"/>
    <w:rsid w:val="00DC401E"/>
    <w:rsid w:val="00DD3FF0"/>
    <w:rsid w:val="00DD63B6"/>
    <w:rsid w:val="00DE4E80"/>
    <w:rsid w:val="00DE56F1"/>
    <w:rsid w:val="00DF52FE"/>
    <w:rsid w:val="00E13D70"/>
    <w:rsid w:val="00E43574"/>
    <w:rsid w:val="00E66383"/>
    <w:rsid w:val="00E66EC8"/>
    <w:rsid w:val="00E72E02"/>
    <w:rsid w:val="00E8172D"/>
    <w:rsid w:val="00E878B9"/>
    <w:rsid w:val="00E93E00"/>
    <w:rsid w:val="00EA6440"/>
    <w:rsid w:val="00EC2B39"/>
    <w:rsid w:val="00EE2EE0"/>
    <w:rsid w:val="00EE7424"/>
    <w:rsid w:val="00F02547"/>
    <w:rsid w:val="00F30D90"/>
    <w:rsid w:val="00F422CF"/>
    <w:rsid w:val="00F86CC1"/>
    <w:rsid w:val="00FA4B2E"/>
    <w:rsid w:val="00FC1F81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91F6"/>
  <w15:chartTrackingRefBased/>
  <w15:docId w15:val="{61FBBC50-6548-4361-9075-A7705AF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DB8"/>
  </w:style>
  <w:style w:type="paragraph" w:styleId="a6">
    <w:name w:val="footer"/>
    <w:basedOn w:val="a"/>
    <w:link w:val="a7"/>
    <w:uiPriority w:val="99"/>
    <w:unhideWhenUsed/>
    <w:rsid w:val="0076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DB8"/>
  </w:style>
  <w:style w:type="character" w:styleId="a8">
    <w:name w:val="Emphasis"/>
    <w:basedOn w:val="a0"/>
    <w:uiPriority w:val="20"/>
    <w:qFormat/>
    <w:rsid w:val="00764DB8"/>
    <w:rPr>
      <w:i/>
      <w:iCs/>
    </w:rPr>
  </w:style>
  <w:style w:type="table" w:styleId="a9">
    <w:name w:val="Table Grid"/>
    <w:basedOn w:val="a1"/>
    <w:uiPriority w:val="39"/>
    <w:rsid w:val="00AB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11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4138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B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1DFD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3F2693"/>
    <w:rPr>
      <w:b/>
      <w:bCs/>
    </w:rPr>
  </w:style>
  <w:style w:type="character" w:customStyle="1" w:styleId="st">
    <w:name w:val="st"/>
    <w:basedOn w:val="a0"/>
    <w:rsid w:val="009A0BD2"/>
  </w:style>
  <w:style w:type="character" w:styleId="af">
    <w:name w:val="annotation reference"/>
    <w:basedOn w:val="a0"/>
    <w:uiPriority w:val="99"/>
    <w:semiHidden/>
    <w:unhideWhenUsed/>
    <w:rsid w:val="00794B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4BD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4BD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B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4BDD"/>
    <w:rPr>
      <w:b/>
      <w:bCs/>
      <w:sz w:val="20"/>
      <w:szCs w:val="20"/>
    </w:rPr>
  </w:style>
  <w:style w:type="character" w:styleId="af4">
    <w:name w:val="Unresolved Mention"/>
    <w:basedOn w:val="a0"/>
    <w:uiPriority w:val="99"/>
    <w:semiHidden/>
    <w:unhideWhenUsed/>
    <w:rsid w:val="00410DC5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6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dra.dig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Гумилева</dc:creator>
  <cp:keywords/>
  <dc:description/>
  <cp:lastModifiedBy>Лицензии ИКС1</cp:lastModifiedBy>
  <cp:revision>4</cp:revision>
  <dcterms:created xsi:type="dcterms:W3CDTF">2021-08-12T06:56:00Z</dcterms:created>
  <dcterms:modified xsi:type="dcterms:W3CDTF">2021-08-12T07:38:00Z</dcterms:modified>
</cp:coreProperties>
</file>