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017CDE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C06D67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017CDE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3D7838">
      <w:pPr>
        <w:spacing w:before="100" w:beforeAutospacing="1" w:after="80" w:line="240" w:lineRule="auto"/>
        <w:contextualSpacing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C06D67" w:rsidP="003D7838">
      <w:pPr>
        <w:spacing w:before="100" w:beforeAutospacing="1" w:after="80" w:line="240" w:lineRule="auto"/>
        <w:ind w:right="1503" w:hanging="11"/>
        <w:contextualSpacing/>
        <w:rPr>
          <w:rFonts w:eastAsia="Times New Roman"/>
          <w:b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09</w:t>
      </w:r>
      <w:r w:rsidR="00302A7F" w:rsidRPr="00302A7F">
        <w:rPr>
          <w:rFonts w:eastAsia="Rosatom"/>
          <w:b/>
          <w:color w:val="343433"/>
          <w:sz w:val="24"/>
          <w:szCs w:val="24"/>
        </w:rPr>
        <w:t>.0</w:t>
      </w:r>
      <w:r w:rsidR="00794B65">
        <w:rPr>
          <w:rFonts w:eastAsia="Rosatom"/>
          <w:b/>
          <w:color w:val="343433"/>
          <w:sz w:val="24"/>
          <w:szCs w:val="24"/>
        </w:rPr>
        <w:t>9</w:t>
      </w:r>
      <w:r>
        <w:rPr>
          <w:rFonts w:eastAsia="Rosatom"/>
          <w:b/>
          <w:color w:val="343433"/>
          <w:sz w:val="24"/>
          <w:szCs w:val="24"/>
        </w:rPr>
        <w:t>.2021</w:t>
      </w:r>
    </w:p>
    <w:p w:rsidR="00C06D67" w:rsidRPr="00C06D67" w:rsidRDefault="00C06D67" w:rsidP="00C06D67">
      <w:pPr>
        <w:spacing w:before="100" w:beforeAutospacing="1" w:line="240" w:lineRule="auto"/>
        <w:jc w:val="both"/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>Курская АЭС-2</w:t>
      </w:r>
      <w:r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>:</w:t>
      </w:r>
      <w:r w:rsidRPr="00C06D67"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 xml:space="preserve"> </w:t>
      </w:r>
      <w:r w:rsidR="00CC0E5B"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 xml:space="preserve">курские художники запечатлели строящиеся </w:t>
      </w:r>
      <w:r w:rsidR="006454E0"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>энергоблоки ВВЭР-ТОИ в масле</w:t>
      </w:r>
    </w:p>
    <w:p w:rsidR="00C06D67" w:rsidRPr="00C06D67" w:rsidRDefault="00C06D67" w:rsidP="00C06D67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Очередной этап строительства Курской АЭС-2 </w:t>
      </w:r>
      <w:r w:rsidR="00017CDE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отразили</w:t>
      </w: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на холстах студенты </w:t>
      </w:r>
      <w:proofErr w:type="spellStart"/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Железногорского</w:t>
      </w:r>
      <w:proofErr w:type="spellEnd"/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художественного колледжа и члены Союза художников России в ходе XVI Международного пленэра творческой школы для </w:t>
      </w:r>
      <w:bookmarkStart w:id="0" w:name="_GoBack"/>
      <w:bookmarkEnd w:id="0"/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одаренных детей «Мастер-класс».</w:t>
      </w:r>
    </w:p>
    <w:p w:rsidR="00C06D67" w:rsidRPr="00C06D67" w:rsidRDefault="00C06D67" w:rsidP="00C06D67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Партнерству атомной станции и Курского союза художников уже шесть лет. Первыми индустриальные пейзажи в 2015-м создавали состоявшиеся мастера. В 2016-м к сотрудничеству присоединился </w:t>
      </w:r>
      <w:proofErr w:type="spellStart"/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Железногорский</w:t>
      </w:r>
      <w:proofErr w:type="spellEnd"/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художественный колледж.</w:t>
      </w:r>
    </w:p>
    <w:p w:rsidR="00C06D67" w:rsidRPr="00C06D67" w:rsidRDefault="00C06D67" w:rsidP="00C06D67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«Сейчас сложно подсчитать сколько картин написано за эти годы – более 100 точно. Это и уютные уголки нашей области, храмы, русла рек, и конечно, Курская АЭС – энергетическое сердце региона, – отметила ведущий инженер управления информации Курской АЭС </w:t>
      </w:r>
      <w:r w:rsidRPr="00C06D67"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>Наталья Карлышева</w:t>
      </w: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. – Нам приятно участвовать в создании творческого наследия Курской области и быть объектом художественного исследования. Сегодня в активной фазе строительство станции замещения, и это прекрасная возможность для студентов отточить свое мастерство, для состоявшихся художников – вдохновиться масштабами сооружения будущих атомных энергоблоков».</w:t>
      </w:r>
    </w:p>
    <w:p w:rsidR="00C06D67" w:rsidRPr="00C06D67" w:rsidRDefault="00C06D67" w:rsidP="00C06D67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Вытяжная испарительная градирня, здания реактора, турбины, башенные краны, вспомогательные сооружения – строительная площадка с профессиональной точки зрения сложна и вместе с тем интересна.</w:t>
      </w:r>
    </w:p>
    <w:p w:rsidR="00C06D67" w:rsidRPr="00C06D67" w:rsidRDefault="00C06D67" w:rsidP="00C06D67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«Здесь ритм, динамика, цветовой ритм, цветовые пятна. На таком материале, как объекты действующей Курской АЭС, строительной площадки хорошо развивать профессиональные знания, отрабатывать навыки, – отметил организатор пленэра, преподаватель художественного колледжа </w:t>
      </w:r>
      <w:r w:rsidRPr="00C06D67"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  <w:t>Валерий Васильев</w:t>
      </w: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. – Студены с удовольствием участвуют в выездных пленэрах. Сегодня здесь 4 преподавателя и 12 ребят, которые прошли серьезный отбор. В колледже проходили конкурсы весенних, осенних этюдов, оценивалась работа студентов за год».</w:t>
      </w:r>
    </w:p>
    <w:p w:rsidR="00794B65" w:rsidRPr="00C06D67" w:rsidRDefault="00C06D67" w:rsidP="00C06D67">
      <w:pPr>
        <w:spacing w:before="100" w:beforeAutospacing="1" w:line="240" w:lineRule="auto"/>
        <w:jc w:val="both"/>
        <w:rPr>
          <w:rFonts w:ascii="Trebuchet MS" w:eastAsia="Rosatom" w:hAnsi="Trebuchet MS"/>
          <w:color w:val="404040" w:themeColor="text1" w:themeTint="BF"/>
          <w:sz w:val="24"/>
          <w:szCs w:val="24"/>
        </w:rPr>
      </w:pPr>
      <w:r w:rsidRPr="00C06D6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Итогом пленэра станет выставка, которую планируется организовать в Курчатове. В экспозицию войдут лучшие работы, в том числе и картины с изображением атомной станции. Таким образом художники хотят поздравить предприятие, персонал, горожан города-спутника с 45-летием Курской АЭС.</w:t>
      </w:r>
    </w:p>
    <w:p w:rsidR="00FD1B32" w:rsidRPr="0071318B" w:rsidRDefault="00302A7F" w:rsidP="00FD1B32">
      <w:pPr>
        <w:spacing w:before="100" w:beforeAutospacing="1" w:line="240" w:lineRule="auto"/>
        <w:ind w:right="-22"/>
        <w:jc w:val="right"/>
        <w:rPr>
          <w:color w:val="404040" w:themeColor="text1" w:themeTint="BF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FD1B32" w:rsidRPr="00FD1B32">
        <w:rPr>
          <w:b/>
          <w:color w:val="404040" w:themeColor="text1" w:themeTint="BF"/>
          <w:sz w:val="24"/>
          <w:szCs w:val="24"/>
        </w:rPr>
        <w:t xml:space="preserve"> </w:t>
      </w:r>
      <w:r w:rsidR="00FD1B32" w:rsidRPr="0071318B">
        <w:rPr>
          <w:b/>
          <w:color w:val="404040" w:themeColor="text1" w:themeTint="BF"/>
          <w:sz w:val="24"/>
          <w:szCs w:val="24"/>
        </w:rPr>
        <w:t>Курской АЭС</w:t>
      </w:r>
    </w:p>
    <w:sectPr w:rsidR="00FD1B32" w:rsidRPr="0071318B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17CDE"/>
    <w:rsid w:val="0006718F"/>
    <w:rsid w:val="000717E2"/>
    <w:rsid w:val="0009022C"/>
    <w:rsid w:val="00156644"/>
    <w:rsid w:val="001A2F8F"/>
    <w:rsid w:val="001F44EC"/>
    <w:rsid w:val="00204D49"/>
    <w:rsid w:val="0023690F"/>
    <w:rsid w:val="00250D78"/>
    <w:rsid w:val="00260581"/>
    <w:rsid w:val="00270E9F"/>
    <w:rsid w:val="00302A7F"/>
    <w:rsid w:val="003107CF"/>
    <w:rsid w:val="00337C3A"/>
    <w:rsid w:val="003D7838"/>
    <w:rsid w:val="003F20E8"/>
    <w:rsid w:val="00424118"/>
    <w:rsid w:val="004244C2"/>
    <w:rsid w:val="005561A0"/>
    <w:rsid w:val="00591301"/>
    <w:rsid w:val="005E62BC"/>
    <w:rsid w:val="006262B1"/>
    <w:rsid w:val="006454E0"/>
    <w:rsid w:val="006B6264"/>
    <w:rsid w:val="006F2DC3"/>
    <w:rsid w:val="00702325"/>
    <w:rsid w:val="0071318B"/>
    <w:rsid w:val="007829CB"/>
    <w:rsid w:val="00794B65"/>
    <w:rsid w:val="007B502E"/>
    <w:rsid w:val="007C7ED0"/>
    <w:rsid w:val="007F68A2"/>
    <w:rsid w:val="008529F5"/>
    <w:rsid w:val="00886B55"/>
    <w:rsid w:val="008D47CB"/>
    <w:rsid w:val="00955D5F"/>
    <w:rsid w:val="009F1035"/>
    <w:rsid w:val="00A451F2"/>
    <w:rsid w:val="00AA5553"/>
    <w:rsid w:val="00B800CB"/>
    <w:rsid w:val="00B976B2"/>
    <w:rsid w:val="00BD71FA"/>
    <w:rsid w:val="00C06D67"/>
    <w:rsid w:val="00C30EB8"/>
    <w:rsid w:val="00C43CC4"/>
    <w:rsid w:val="00C951E9"/>
    <w:rsid w:val="00CC0E5B"/>
    <w:rsid w:val="00D442D6"/>
    <w:rsid w:val="00D46C6D"/>
    <w:rsid w:val="00DB2D59"/>
    <w:rsid w:val="00DD0E41"/>
    <w:rsid w:val="00DE70FD"/>
    <w:rsid w:val="00E07B33"/>
    <w:rsid w:val="00F03DAF"/>
    <w:rsid w:val="00F044E2"/>
    <w:rsid w:val="00F223CC"/>
    <w:rsid w:val="00F22ED1"/>
    <w:rsid w:val="00F70227"/>
    <w:rsid w:val="00F80E3A"/>
    <w:rsid w:val="00FD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E5D0A-8A69-4C60-972A-043D7F3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Пинаева Лена</cp:lastModifiedBy>
  <cp:revision>12</cp:revision>
  <dcterms:created xsi:type="dcterms:W3CDTF">2020-09-09T13:46:00Z</dcterms:created>
  <dcterms:modified xsi:type="dcterms:W3CDTF">2021-09-09T06:53:00Z</dcterms:modified>
</cp:coreProperties>
</file>