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«Нева.Цифровой сбыт» признана лучшим ИТ-решением для электроэнергетики</w:t>
      </w:r>
    </w:p>
    <w:p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25 ноября в Москве состоялось вручение премии ComNews Awards за достижения бизнеса и госсектора в области цифровизации. Проект компании «СИГМА» «Нева.Цифровой сбыт» для ПАО «Интер РАО» получил награду в номинации «Лучшее цифровое решение в электроэнергетике». Это первое BPM-решение в российской энергетике для единого управления сбытом. </w:t>
      </w:r>
      <w:r>
        <w:rPr>
          <w:b/>
          <w:bCs/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Решение «Цифровой сбыт» позволило свести к минимуму участие персонала в обслуживании потребителей: от оформления заявок на заключение договора энергоснабжения до обработки показаний и выставления счетов. Теперь клиенту достаточно подать заявку в личном кабинете, заполнить анкету и подписать ЭЦП, после чего система автоматически запустит весь процесс. В результате внедрения снизилась трудоемкость подготовки документов для заключения договора энергоснабжения, максимально автоматизирован биллинговый цикл расчета потребителей-юридических лиц. 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В основе системы «Цифровой сбыт» лежат интеллектуальные технологии, позволяющие исключить персонал из работы с рутинными операциями. Решение разработано компанией «СИГМА», лидером в области цифровизации энергетики и ЖКХ, для решения стратегических задач Блока розничного бизнеса ПАО «Интер РАО» в области инноваций, импортозамещения и роста эффективности.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i/>
          <w:iCs/>
          <w:sz w:val="24"/>
          <w:szCs w:val="24"/>
        </w:rPr>
        <w:t>«Полученная награда – результат сплоченной работы большой профессиональной команды. Мы гордимся, что совместно с "Интер РАО" реализован инновационный проект, очень важный для цифровизации одного из ключевых сегментов российской энергетики»</w:t>
      </w:r>
      <w:r>
        <w:rPr>
          <w:sz w:val="24"/>
          <w:szCs w:val="24"/>
        </w:rPr>
        <w:t>, - прокомментировал Сергей Колодей, генеральный директор компании «СИГМА».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 xml:space="preserve">Премия ComNews Awards – одна из самых престижных в российской ИТ-отрасли. В 2021 году она проводится уже в 10-й раз. Премия ежегодно отмечает наиболее значимые проекты цифровой трансформации в ведущих отраслях экономики, а также в сферах государственного управления. В этом году было подано более 300 заявок, в шорт-лист вошли 50, в число лауреатов – 24 проекта таких компаний, как ПАО «Ростелеком», ООО «Северсталь Диджитал», «Газпромнефть ИТО», Группа «Норильский никель», «Почта России» и ряд других лидеров цифровизации госсектора и вертикальных отраслевых рынков. </w:t>
      </w:r>
    </w:p>
    <w:p>
      <w:pPr>
        <w:pStyle w:val="para4"/>
        <w:spacing w:before="0" w:after="120" w:beforeAutospacing="0" w:afterAutospacing="0" w:line="360" w:lineRule="atLeast"/>
        <w:jc w:val="both"/>
        <w:pBdr>
          <w:top w:val="nil" w:sz="0" w:space="3" w:color="000000" tmln="20, 20, 20, 0, 60"/>
          <w:left w:val="nil" w:sz="0" w:space="3" w:color="000000" tmln="20, 20, 20, 0, 60"/>
          <w:bottom w:val="nil" w:sz="0" w:space="3" w:color="000000" tmln="20, 20, 20, 0, 60"/>
          <w:right w:val="nil" w:sz="0" w:space="3" w:color="000000" tmln="20, 20, 20, 0, 60"/>
          <w:between w:val="nil" w:sz="0" w:space="0" w:color="000000" tmln="20, 20, 20, 0, 0"/>
        </w:pBdr>
        <w:shd w:val="solid" w:color="FFFFFF" tmshd="1677721856, 0, 16777215"/>
        <w:rPr>
          <w:rFonts w:ascii="Calibri" w:hAnsi="Calibri" w:eastAsia="Calibri"/>
        </w:rPr>
      </w:pPr>
      <w:r>
        <w:rPr>
          <w:rFonts w:ascii="Calibri" w:hAnsi="Calibri" w:eastAsia="Calibri"/>
        </w:rPr>
        <w:t>Справка о компаниях:</w:t>
      </w:r>
    </w:p>
    <w:p>
      <w:r>
        <w:rPr>
          <w:b/>
          <w:bCs/>
        </w:rPr>
        <w:t>СИГМА</w:t>
      </w:r>
      <w:r>
        <w:t xml:space="preserve"> (</w:t>
      </w:r>
      <w:hyperlink r:id="rId8" w:history="1">
        <w:r>
          <w:rPr>
            <w:rStyle w:val="char5"/>
          </w:rPr>
          <w:t>https://sigma-it.ru</w:t>
        </w:r>
      </w:hyperlink>
      <w:r>
        <w:t xml:space="preserve"> ) – лидер в области разработки и внедрения ИТ-решений для цифровизации российской энергетики и сектора ЖКХ. Компания основана в 2005 году и обладает многоуровневой экспертизой в области разработки, внедрения, сопровождения и развития аналитических, биллинговых и расчётных систем, мобильных решений, системной интеграции и других направлений, обеспечивающих комплексную автоматизацию деятельности энергосетевых и энергосбытовых компаний. Входит в Группу «Интер РАО». </w:t>
      </w:r>
    </w:p>
    <w:p>
      <w:pPr>
        <w:rPr>
          <w:b/>
          <w:bCs/>
          <w:sz w:val="24"/>
          <w:szCs w:val="24"/>
        </w:rPr>
      </w:pPr>
      <w:r>
        <w:rPr>
          <w:b/>
          <w:bCs/>
        </w:rPr>
        <w:t>ПАО «Интер РАО» </w:t>
      </w:r>
      <w:r>
        <w:t>(</w:t>
      </w:r>
      <w:hyperlink r:id="rId9" w:history="1">
        <w:r>
          <w:rPr>
            <w:rStyle w:val="char5"/>
            <w:lang w:val="en-us"/>
          </w:rPr>
          <w:t>www</w:t>
        </w:r>
        <w:r>
          <w:rPr>
            <w:rStyle w:val="char5"/>
          </w:rPr>
          <w:t>.</w:t>
        </w:r>
        <w:r>
          <w:rPr>
            <w:rStyle w:val="char5"/>
            <w:lang w:val="en-us"/>
          </w:rPr>
          <w:t>interrao</w:t>
        </w:r>
        <w:r>
          <w:rPr>
            <w:rStyle w:val="char5"/>
          </w:rPr>
          <w:t>.</w:t>
        </w:r>
        <w:r>
          <w:rPr>
            <w:rStyle w:val="char5"/>
            <w:lang w:val="en-us"/>
          </w:rPr>
          <w:t>ru</w:t>
        </w:r>
      </w:hyperlink>
      <w:r>
        <w:t>) — российская энергетическая компания, управляющая активами в </w:t>
      </w:r>
      <w:hyperlink r:id="rId10" w:history="1">
        <w:r>
          <w:t>России</w:t>
        </w:r>
      </w:hyperlink>
      <w:r>
        <w:t>, а также в странах </w:t>
      </w:r>
      <w:hyperlink r:id="rId11" w:history="1">
        <w:r>
          <w:t>Европы</w:t>
        </w:r>
      </w:hyperlink>
      <w:r>
        <w:t> и </w:t>
      </w:r>
      <w:hyperlink r:id="rId12" w:history="1">
        <w:r>
          <w:t>СНГ</w:t>
        </w:r>
      </w:hyperlink>
      <w:r>
        <w:t>. В сферу деятельности Интер РАО входит производство и сбыт электрической и тепловой энергии, международный энергетический трейдинг, инжиниринг, проектирование и строительство энергообъектов. Также под контролем Интер РАО — ряд энергетических компаний за рубежом, включая тепловые и гидроэлектростанции, электросетевые и энерготрейдинговые компании.</w:t>
        <w:br w:type="textWrapping"/>
      </w:r>
      <w:r>
        <w:rPr>
          <w:b/>
          <w:bCs/>
          <w:sz w:val="24"/>
          <w:szCs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113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Segoe UI">
    <w:panose1 w:val="020B0502040204020203"/>
    <w:charset w:val="cc"/>
    <w:family w:val="swiss"/>
    <w:pitch w:val="default"/>
  </w:font>
  <w:font w:name="Calibri Light">
    <w:panose1 w:val="020F0302020204030204"/>
    <w:charset w:val="cc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360" w:hanging="0"/>
      </w:pPr>
    </w:lvl>
    <w:lvl w:ilvl="1">
      <w:start w:val="1"/>
      <w:numFmt w:val="lowerLetter"/>
      <w:suff w:val="tab"/>
      <w:lvlText w:val="%2."/>
      <w:lvlJc w:val="left"/>
      <w:pPr>
        <w:ind w:left="1080" w:hanging="0"/>
      </w:pPr>
    </w:lvl>
    <w:lvl w:ilvl="2">
      <w:start w:val="1"/>
      <w:numFmt w:val="lowerRoman"/>
      <w:suff w:val="tab"/>
      <w:lvlText w:val="%3."/>
      <w:lvlJc w:val="left"/>
      <w:pPr>
        <w:ind w:left="1980" w:hanging="0"/>
      </w:pPr>
    </w:lvl>
    <w:lvl w:ilvl="3">
      <w:start w:val="1"/>
      <w:numFmt w:val="decimal"/>
      <w:suff w:val="tab"/>
      <w:lvlText w:val="%4."/>
      <w:lvlJc w:val="left"/>
      <w:pPr>
        <w:ind w:left="2520" w:hanging="0"/>
      </w:pPr>
    </w:lvl>
    <w:lvl w:ilvl="4">
      <w:start w:val="1"/>
      <w:numFmt w:val="lowerLetter"/>
      <w:suff w:val="tab"/>
      <w:lvlText w:val="%5."/>
      <w:lvlJc w:val="left"/>
      <w:pPr>
        <w:ind w:left="3240" w:hanging="0"/>
      </w:pPr>
    </w:lvl>
    <w:lvl w:ilvl="5">
      <w:start w:val="1"/>
      <w:numFmt w:val="lowerRoman"/>
      <w:suff w:val="tab"/>
      <w:lvlText w:val="%6."/>
      <w:lvlJc w:val="left"/>
      <w:pPr>
        <w:ind w:left="4140" w:hanging="0"/>
      </w:pPr>
    </w:lvl>
    <w:lvl w:ilvl="6">
      <w:start w:val="1"/>
      <w:numFmt w:val="decimal"/>
      <w:suff w:val="tab"/>
      <w:lvlText w:val="%7."/>
      <w:lvlJc w:val="left"/>
      <w:pPr>
        <w:ind w:left="4680" w:hanging="0"/>
      </w:pPr>
    </w:lvl>
    <w:lvl w:ilvl="7">
      <w:start w:val="1"/>
      <w:numFmt w:val="lowerLetter"/>
      <w:suff w:val="tab"/>
      <w:lvlText w:val="%8."/>
      <w:lvlJc w:val="left"/>
      <w:pPr>
        <w:ind w:left="5400" w:hanging="0"/>
      </w:pPr>
    </w:lvl>
    <w:lvl w:ilvl="8">
      <w:start w:val="1"/>
      <w:numFmt w:val="lowerRoman"/>
      <w:suff w:val="tab"/>
      <w:lvlText w:val="%9."/>
      <w:lvlJc w:val="left"/>
      <w:pPr>
        <w:ind w:left="6300" w:hanging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trackRevisions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26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1"/>
    <w:tmReviewShow w:val="1"/>
    <w:tmReviewPrint w:val="0"/>
    <w:tmRevisionNum w:val="6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1"/>
    <w:tmLastPosSelect w:val="0"/>
    <w:tmLastPosFrameIdx w:val="0"/>
    <w:tmLastPosCaret>
      <w:tmLastPosPgfIdx w:val="8"/>
      <w:tmLastPosIdx w:val="483"/>
    </w:tmLastPosCaret>
    <w:tmLastPosAnchor>
      <w:tmLastPosPgfIdx w:val="0"/>
      <w:tmLastPosIdx w:val="0"/>
    </w:tmLastPosAnchor>
    <w:tmLastPosTblRect w:left="0" w:top="0" w:right="0" w:bottom="0"/>
  </w:tmLastPos>
  <w:tmAppRevision w:date="1638427381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 w:customStyle="1">
    <w:name w:val="annotation text"/>
    <w:qFormat/>
    <w:basedOn w:val="para0"/>
    <w:pPr>
      <w:spacing w:line="240" w:lineRule="auto"/>
    </w:pPr>
    <w:rPr>
      <w:sz w:val="20"/>
      <w:szCs w:val="20"/>
    </w:rPr>
  </w:style>
  <w:style w:type="paragraph" w:styleId="para2" w:customStyle="1">
    <w:name w:val="annotation subject"/>
    <w:qFormat/>
    <w:basedOn w:val="para1"/>
    <w:next w:val="para1"/>
    <w:rPr>
      <w:b/>
      <w:bCs/>
    </w:rPr>
  </w:style>
  <w:style w:type="paragraph" w:styleId="para3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4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para5">
    <w:name w:val="List Paragraph"/>
    <w:qFormat/>
    <w:basedOn w:val="para0"/>
    <w:pPr>
      <w:ind w:left="720"/>
      <w:contextualSpacing/>
    </w:pPr>
  </w:style>
  <w:style w:type="paragraph" w:styleId="para6">
    <w:name w:val="Comment Text"/>
    <w:qFormat/>
    <w:basedOn w:val="para0"/>
    <w:pPr>
      <w:spacing w:after="0" w:line="240" w:lineRule="auto"/>
    </w:pPr>
    <w:rPr>
      <w:sz w:val="20"/>
      <w:szCs w:val="20"/>
    </w:rPr>
  </w:style>
  <w:style w:type="paragraph" w:styleId="para7">
    <w:name w:val="Comment Subject"/>
    <w:qFormat/>
    <w:basedOn w:val="para6"/>
    <w:next w:val="para6"/>
    <w:rPr>
      <w:b/>
      <w:bCs/>
    </w:rPr>
  </w:style>
  <w:style w:type="character" w:styleId="char0" w:default="1">
    <w:name w:val="Default Paragraph Font"/>
  </w:style>
  <w:style w:type="character" w:styleId="char1" w:customStyle="1">
    <w:name w:val="annotation reference"/>
    <w:basedOn w:val="char0"/>
    <w:rPr>
      <w:sz w:val="16"/>
      <w:szCs w:val="16"/>
    </w:rPr>
  </w:style>
  <w:style w:type="character" w:styleId="char2" w:customStyle="1">
    <w:name w:val="Текст примечания Знак"/>
    <w:basedOn w:val="char0"/>
    <w:rPr>
      <w:sz w:val="20"/>
      <w:szCs w:val="20"/>
    </w:rPr>
  </w:style>
  <w:style w:type="character" w:styleId="char3" w:customStyle="1">
    <w:name w:val="Тема примечания Знак"/>
    <w:basedOn w:val="char2"/>
    <w:rPr>
      <w:b/>
      <w:bCs/>
    </w:rPr>
  </w:style>
  <w:style w:type="character" w:styleId="char4" w:customStyle="1">
    <w:name w:val="Текст выноски Знак"/>
    <w:basedOn w:val="char0"/>
    <w:rPr>
      <w:rFonts w:ascii="Segoe UI" w:hAnsi="Segoe UI" w:cs="Segoe UI"/>
      <w:sz w:val="18"/>
      <w:szCs w:val="18"/>
    </w:rPr>
  </w:style>
  <w:style w:type="character" w:styleId="char5">
    <w:name w:val="Hyperlink"/>
    <w:basedOn w:val="char0"/>
    <w:rPr>
      <w:color w:val="0563c1"/>
      <w:u w:color="auto" w:val="single"/>
    </w:rPr>
  </w:style>
  <w:style w:type="character" w:styleId="char6" w:customStyle="1">
    <w:name w:val="Unresolved Mention"/>
    <w:basedOn w:val="char0"/>
    <w:rPr>
      <w:color w:val="605e5c"/>
      <w:shd w:val="clear" w:fill="e1dfdd"/>
    </w:rPr>
  </w:style>
  <w:style w:type="character" w:styleId="char7">
    <w:name w:val="FollowedHyperlink"/>
    <w:basedOn w:val="char0"/>
    <w:rPr>
      <w:color w:val="954f72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 w:customStyle="1">
    <w:name w:val="annotation text"/>
    <w:qFormat/>
    <w:basedOn w:val="para0"/>
    <w:pPr>
      <w:spacing w:line="240" w:lineRule="auto"/>
    </w:pPr>
    <w:rPr>
      <w:sz w:val="20"/>
      <w:szCs w:val="20"/>
    </w:rPr>
  </w:style>
  <w:style w:type="paragraph" w:styleId="para2" w:customStyle="1">
    <w:name w:val="annotation subject"/>
    <w:qFormat/>
    <w:basedOn w:val="para1"/>
    <w:next w:val="para1"/>
    <w:rPr>
      <w:b/>
      <w:bCs/>
    </w:rPr>
  </w:style>
  <w:style w:type="paragraph" w:styleId="para3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4">
    <w:name w:val="Normal (Web)"/>
    <w:qFormat/>
    <w:basedOn w:val="para0"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paragraph" w:styleId="para5">
    <w:name w:val="List Paragraph"/>
    <w:qFormat/>
    <w:basedOn w:val="para0"/>
    <w:pPr>
      <w:ind w:left="720"/>
      <w:contextualSpacing/>
    </w:pPr>
  </w:style>
  <w:style w:type="paragraph" w:styleId="para6">
    <w:name w:val="Comment Text"/>
    <w:qFormat/>
    <w:basedOn w:val="para0"/>
    <w:pPr>
      <w:spacing w:after="0" w:line="240" w:lineRule="auto"/>
    </w:pPr>
    <w:rPr>
      <w:sz w:val="20"/>
      <w:szCs w:val="20"/>
    </w:rPr>
  </w:style>
  <w:style w:type="paragraph" w:styleId="para7">
    <w:name w:val="Comment Subject"/>
    <w:qFormat/>
    <w:basedOn w:val="para6"/>
    <w:next w:val="para6"/>
    <w:rPr>
      <w:b/>
      <w:bCs/>
    </w:rPr>
  </w:style>
  <w:style w:type="character" w:styleId="char0" w:default="1">
    <w:name w:val="Default Paragraph Font"/>
  </w:style>
  <w:style w:type="character" w:styleId="char1" w:customStyle="1">
    <w:name w:val="annotation reference"/>
    <w:basedOn w:val="char0"/>
    <w:rPr>
      <w:sz w:val="16"/>
      <w:szCs w:val="16"/>
    </w:rPr>
  </w:style>
  <w:style w:type="character" w:styleId="char2" w:customStyle="1">
    <w:name w:val="Текст примечания Знак"/>
    <w:basedOn w:val="char0"/>
    <w:rPr>
      <w:sz w:val="20"/>
      <w:szCs w:val="20"/>
    </w:rPr>
  </w:style>
  <w:style w:type="character" w:styleId="char3" w:customStyle="1">
    <w:name w:val="Тема примечания Знак"/>
    <w:basedOn w:val="char2"/>
    <w:rPr>
      <w:b/>
      <w:bCs/>
    </w:rPr>
  </w:style>
  <w:style w:type="character" w:styleId="char4" w:customStyle="1">
    <w:name w:val="Текст выноски Знак"/>
    <w:basedOn w:val="char0"/>
    <w:rPr>
      <w:rFonts w:ascii="Segoe UI" w:hAnsi="Segoe UI" w:cs="Segoe UI"/>
      <w:sz w:val="18"/>
      <w:szCs w:val="18"/>
    </w:rPr>
  </w:style>
  <w:style w:type="character" w:styleId="char5">
    <w:name w:val="Hyperlink"/>
    <w:basedOn w:val="char0"/>
    <w:rPr>
      <w:color w:val="0563c1"/>
      <w:u w:color="auto" w:val="single"/>
    </w:rPr>
  </w:style>
  <w:style w:type="character" w:styleId="char6" w:customStyle="1">
    <w:name w:val="Unresolved Mention"/>
    <w:basedOn w:val="char0"/>
    <w:rPr>
      <w:color w:val="605e5c"/>
      <w:shd w:val="clear" w:fill="e1dfdd"/>
    </w:rPr>
  </w:style>
  <w:style w:type="character" w:styleId="char7">
    <w:name w:val="FollowedHyperlink"/>
    <w:basedOn w:val="char0"/>
    <w:rPr>
      <w:color w:val="954f72"/>
      <w:u w:color="auto" w:val="single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yperlink" Target="https://sigma-it.ru" TargetMode="External"/><Relationship Id="rId9" Type="http://schemas.openxmlformats.org/officeDocument/2006/relationships/hyperlink" Target="http://www.interrao.ru" TargetMode="External"/><Relationship Id="rId10" Type="http://schemas.openxmlformats.org/officeDocument/2006/relationships/hyperlink" Target="https://ru.wikipedia.org/wiki/&#1056;&#1086;&#1089;&#1089;&#1080;&#1103;" TargetMode="External"/><Relationship Id="rId11" Type="http://schemas.openxmlformats.org/officeDocument/2006/relationships/hyperlink" Target="https://ru.wikipedia.org/wiki/&#1045;&#1074;&#1088;&#1086;&#1087;&#1072;" TargetMode="External"/><Relationship Id="rId12" Type="http://schemas.openxmlformats.org/officeDocument/2006/relationships/hyperlink" Target="https://ru.wikipedia.org/wiki/&#1057;&#1086;&#1076;&#1088;&#1091;&#1078;&#1077;&#1089;&#1090;&#1074;&#1086;_&#1053;&#1077;&#1079;&#1072;&#1074;&#1080;&#1089;&#1080;&#1084;&#1099;&#1093;_&#1043;&#1086;&#1089;&#1091;&#1076;&#1072;&#1088;&#1089;&#1090;&#1074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Водолазова (МРФ Санкт-Петербург)</dc:creator>
  <cp:keywords/>
  <dc:description/>
  <cp:lastModifiedBy>Elena</cp:lastModifiedBy>
  <cp:revision>6</cp:revision>
  <dcterms:created xsi:type="dcterms:W3CDTF">2021-11-30T16:31:00Z</dcterms:created>
  <dcterms:modified xsi:type="dcterms:W3CDTF">2021-12-02T06:43:01Z</dcterms:modified>
</cp:coreProperties>
</file>