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054486">
        <w:tc>
          <w:tcPr>
            <w:tcW w:w="5571" w:type="dxa"/>
            <w:shd w:val="clear" w:color="auto" w:fill="auto"/>
          </w:tcPr>
          <w:p w:rsidR="00054486" w:rsidRDefault="002750A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054486" w:rsidRDefault="00054486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2750AA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9BDFBB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054486" w:rsidRDefault="00292733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2750AA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2750AA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9BDFBB" id="Надпись 4" o:spid="_x0000_s1026" style="position:absolute;margin-left:0;margin-top:-113.05pt;width:505.2pt;height:114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    <v:textbox>
                  <w:txbxContent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054486" w:rsidRDefault="005D2358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 w:rsidR="002750AA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2750AA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:rsidR="00054486" w:rsidRDefault="006159CF">
      <w:pPr>
        <w:spacing w:line="240" w:lineRule="auto"/>
        <w:ind w:right="1503"/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30</w:t>
      </w:r>
      <w:r w:rsidR="004A0865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</w:t>
      </w:r>
      <w:r w:rsidR="004A0865" w:rsidRPr="004A0865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1</w:t>
      </w:r>
      <w:r w:rsidR="00500E69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2</w:t>
      </w:r>
      <w:r w:rsidR="002750AA">
        <w:rPr>
          <w:rFonts w:ascii="Trebuchet MS" w:eastAsia="Rosatom" w:hAnsi="Trebuchet MS"/>
          <w:b/>
          <w:color w:val="000000" w:themeColor="text1"/>
          <w:sz w:val="24"/>
          <w:szCs w:val="24"/>
          <w:lang w:val="ru-RU"/>
        </w:rPr>
        <w:t>.2021</w:t>
      </w:r>
    </w:p>
    <w:p w:rsidR="00883CDD" w:rsidRPr="00FB7B45" w:rsidRDefault="00883CDD" w:rsidP="00FB7B45">
      <w:pPr>
        <w:pStyle w:val="detnewstitle"/>
        <w:shd w:val="clear" w:color="auto" w:fill="FFFFFF"/>
        <w:spacing w:beforeAutospacing="0" w:afterAutospacing="0"/>
        <w:jc w:val="both"/>
        <w:rPr>
          <w:rFonts w:ascii="Trebuchet MS" w:hAnsi="Trebuchet MS"/>
          <w:b/>
          <w:color w:val="333333"/>
        </w:rPr>
      </w:pPr>
    </w:p>
    <w:p w:rsidR="005D2358" w:rsidRPr="005D2358" w:rsidRDefault="005D2358" w:rsidP="005D2358">
      <w:pPr>
        <w:shd w:val="clear" w:color="auto" w:fill="FFFFFF"/>
        <w:suppressAutoHyphens w:val="0"/>
        <w:spacing w:before="225" w:after="225" w:line="435" w:lineRule="atLeast"/>
        <w:jc w:val="both"/>
        <w:rPr>
          <w:rFonts w:ascii="Trebuchet MS" w:eastAsia="Times New Roman" w:hAnsi="Trebuchet MS"/>
          <w:b/>
          <w:sz w:val="24"/>
          <w:szCs w:val="24"/>
          <w:lang w:val="ru-RU"/>
        </w:rPr>
      </w:pPr>
      <w:r w:rsidRPr="005D2358">
        <w:rPr>
          <w:rFonts w:ascii="Trebuchet MS" w:eastAsia="Times New Roman" w:hAnsi="Trebuchet MS"/>
          <w:b/>
          <w:sz w:val="24"/>
          <w:szCs w:val="24"/>
          <w:lang w:val="ru-RU"/>
        </w:rPr>
        <w:t>Курская АЭС досрочно выполнила все ключевые проекты 2021 года</w:t>
      </w: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r w:rsidRPr="00292733">
        <w:rPr>
          <w:rFonts w:ascii="Trebuchet MS" w:hAnsi="Trebuchet MS"/>
          <w:sz w:val="24"/>
          <w:szCs w:val="24"/>
          <w:lang w:val="ru-RU"/>
        </w:rPr>
        <w:t>На Курской атомной станции (филиал АО «Концерн «Росэнергоатом») успешно завершены 27 ключевых проектов и мероприятий по повышению безопасности и эффективности выработки электроэнергии.</w:t>
      </w: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r w:rsidRPr="00292733">
        <w:rPr>
          <w:rFonts w:ascii="Trebuchet MS" w:hAnsi="Trebuchet MS"/>
          <w:sz w:val="24"/>
          <w:szCs w:val="24"/>
          <w:lang w:val="ru-RU"/>
        </w:rPr>
        <w:t xml:space="preserve">Уже 2 декабря атомная станция первой среди российских АЭС выполнила годовое государственное задание по выработке электроэнергии. На 30 декабря выработано более 25 млрд </w:t>
      </w:r>
      <w:proofErr w:type="spellStart"/>
      <w:r w:rsidRPr="00292733">
        <w:rPr>
          <w:rFonts w:ascii="Trebuchet MS" w:hAnsi="Trebuchet MS"/>
          <w:sz w:val="24"/>
          <w:szCs w:val="24"/>
          <w:lang w:val="ru-RU"/>
        </w:rPr>
        <w:t>кВтч</w:t>
      </w:r>
      <w:proofErr w:type="spellEnd"/>
      <w:r w:rsidRPr="00292733">
        <w:rPr>
          <w:rFonts w:ascii="Trebuchet MS" w:hAnsi="Trebuchet MS"/>
          <w:sz w:val="24"/>
          <w:szCs w:val="24"/>
          <w:lang w:val="ru-RU"/>
        </w:rPr>
        <w:t xml:space="preserve"> электроэнергии при плане 22,8 млрд. Это на 1,4 млрд. </w:t>
      </w:r>
      <w:proofErr w:type="spellStart"/>
      <w:r w:rsidRPr="00292733">
        <w:rPr>
          <w:rFonts w:ascii="Trebuchet MS" w:hAnsi="Trebuchet MS"/>
          <w:sz w:val="24"/>
          <w:szCs w:val="24"/>
          <w:lang w:val="ru-RU"/>
        </w:rPr>
        <w:t>кВт.ч</w:t>
      </w:r>
      <w:proofErr w:type="spellEnd"/>
      <w:r w:rsidRPr="00292733">
        <w:rPr>
          <w:rFonts w:ascii="Trebuchet MS" w:hAnsi="Trebuchet MS"/>
          <w:sz w:val="24"/>
          <w:szCs w:val="24"/>
          <w:lang w:val="ru-RU"/>
        </w:rPr>
        <w:t xml:space="preserve"> больше целевого уровня, установленного Концерном «Росэнергоатом».</w:t>
      </w: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r w:rsidRPr="00292733">
        <w:rPr>
          <w:rFonts w:ascii="Trebuchet MS" w:hAnsi="Trebuchet MS"/>
          <w:sz w:val="24"/>
          <w:szCs w:val="24"/>
          <w:lang w:val="ru-RU"/>
        </w:rPr>
        <w:t>В уходящем году работа энергоблоков Курской АЭС предотвратила попадание в атмосферу более 12,5 млн тонн выбросов парниковых газов в эквиваленте СО2, которые могли бы поступить в атмосферу при сгорании органического топлива.</w:t>
      </w: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r w:rsidRPr="00292733">
        <w:rPr>
          <w:rFonts w:ascii="Trebuchet MS" w:hAnsi="Trebuchet MS"/>
          <w:sz w:val="24"/>
          <w:szCs w:val="24"/>
          <w:lang w:val="ru-RU"/>
        </w:rPr>
        <w:t xml:space="preserve">Существенный вклад в выполнение планов и заданий года сделан при работе энергоблока № 1 Курской АЭС, выведенного 19 декабря текущего года в режим эксплуатации без генерации. За 45 лет надёжной и безопасной работы энергоблок № 1 передал в энергосистему страны свыше 251 миллиарда киловатт часов электроэнергии, что равно энергопотреблению Курской области на </w:t>
      </w:r>
      <w:proofErr w:type="spellStart"/>
      <w:proofErr w:type="gramStart"/>
      <w:r w:rsidRPr="00292733">
        <w:rPr>
          <w:rFonts w:ascii="Trebuchet MS" w:hAnsi="Trebuchet MS"/>
          <w:sz w:val="24"/>
          <w:szCs w:val="24"/>
          <w:lang w:val="ru-RU"/>
        </w:rPr>
        <w:t>совре-менном</w:t>
      </w:r>
      <w:proofErr w:type="spellEnd"/>
      <w:proofErr w:type="gramEnd"/>
      <w:r w:rsidRPr="00292733">
        <w:rPr>
          <w:rFonts w:ascii="Trebuchet MS" w:hAnsi="Trebuchet MS"/>
          <w:sz w:val="24"/>
          <w:szCs w:val="24"/>
          <w:lang w:val="ru-RU"/>
        </w:rPr>
        <w:t xml:space="preserve"> уровне в течение 30-ти лет.</w:t>
      </w: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r w:rsidRPr="00292733">
        <w:rPr>
          <w:rFonts w:ascii="Trebuchet MS" w:hAnsi="Trebuchet MS"/>
          <w:sz w:val="24"/>
          <w:szCs w:val="24"/>
          <w:lang w:val="ru-RU"/>
        </w:rPr>
        <w:t xml:space="preserve">Курская АЭС занимает лидирующие позиции в электроэнергетике Центрально-Черноземного экономического района. С начала эксплуатации энергоблоков станция выработала около 988 млрд </w:t>
      </w:r>
      <w:proofErr w:type="spellStart"/>
      <w:proofErr w:type="gramStart"/>
      <w:r w:rsidRPr="00292733">
        <w:rPr>
          <w:rFonts w:ascii="Trebuchet MS" w:hAnsi="Trebuchet MS"/>
          <w:sz w:val="24"/>
          <w:szCs w:val="24"/>
          <w:lang w:val="ru-RU"/>
        </w:rPr>
        <w:t>кВтч</w:t>
      </w:r>
      <w:proofErr w:type="spellEnd"/>
      <w:r w:rsidRPr="00292733">
        <w:rPr>
          <w:rFonts w:ascii="Trebuchet MS" w:hAnsi="Trebuchet MS"/>
          <w:sz w:val="24"/>
          <w:szCs w:val="24"/>
          <w:lang w:val="ru-RU"/>
        </w:rPr>
        <w:t>.,</w:t>
      </w:r>
      <w:proofErr w:type="gramEnd"/>
      <w:r w:rsidRPr="00292733">
        <w:rPr>
          <w:rFonts w:ascii="Trebuchet MS" w:hAnsi="Trebuchet MS"/>
          <w:sz w:val="24"/>
          <w:szCs w:val="24"/>
          <w:lang w:val="ru-RU"/>
        </w:rPr>
        <w:t xml:space="preserve"> больше чем любая другая электростанция этого региона.</w:t>
      </w: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r w:rsidRPr="00292733">
        <w:rPr>
          <w:rFonts w:ascii="Trebuchet MS" w:hAnsi="Trebuchet MS"/>
          <w:sz w:val="24"/>
          <w:szCs w:val="24"/>
          <w:lang w:val="ru-RU"/>
        </w:rPr>
        <w:t>Стабильная и безопасная выработка электроэнергии обеспечена оптимизацией сроков выполнения плановых ремонтов и модернизацией оборудования.</w:t>
      </w: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r w:rsidRPr="00292733">
        <w:rPr>
          <w:rFonts w:ascii="Trebuchet MS" w:hAnsi="Trebuchet MS"/>
          <w:sz w:val="24"/>
          <w:szCs w:val="24"/>
          <w:lang w:val="ru-RU"/>
        </w:rPr>
        <w:t xml:space="preserve">Благодаря применению инструментов Производственной системы </w:t>
      </w:r>
      <w:proofErr w:type="spellStart"/>
      <w:r w:rsidRPr="00292733">
        <w:rPr>
          <w:rFonts w:ascii="Trebuchet MS" w:hAnsi="Trebuchet MS"/>
          <w:sz w:val="24"/>
          <w:szCs w:val="24"/>
          <w:lang w:val="ru-RU"/>
        </w:rPr>
        <w:t>Росатома</w:t>
      </w:r>
      <w:proofErr w:type="spellEnd"/>
      <w:r w:rsidRPr="00292733">
        <w:rPr>
          <w:rFonts w:ascii="Trebuchet MS" w:hAnsi="Trebuchet MS"/>
          <w:sz w:val="24"/>
          <w:szCs w:val="24"/>
          <w:lang w:val="ru-RU"/>
        </w:rPr>
        <w:t xml:space="preserve"> (ПСР), ремонтная кампания текущего года на Курской АЭС завершилась с высоким уровнем качества на 50,5 суток ранее целевого уровня. Планово-предупредительные ремонты (ППР) всех четырех действующих энергоблоков выполнены за 335,5 суток вместо 386 суток. Выработка электроэнергии за счет сокращения сроков продолжительности ремонтов в 2021 году превышает государственное задание на 2,47 млрд </w:t>
      </w:r>
      <w:proofErr w:type="spellStart"/>
      <w:r w:rsidRPr="00292733">
        <w:rPr>
          <w:rFonts w:ascii="Trebuchet MS" w:hAnsi="Trebuchet MS"/>
          <w:sz w:val="24"/>
          <w:szCs w:val="24"/>
          <w:lang w:val="ru-RU"/>
        </w:rPr>
        <w:t>кВтч</w:t>
      </w:r>
      <w:proofErr w:type="spellEnd"/>
      <w:r w:rsidRPr="00292733">
        <w:rPr>
          <w:rFonts w:ascii="Trebuchet MS" w:hAnsi="Trebuchet MS"/>
          <w:sz w:val="24"/>
          <w:szCs w:val="24"/>
          <w:lang w:val="ru-RU"/>
        </w:rPr>
        <w:t>.</w:t>
      </w: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r w:rsidRPr="00292733">
        <w:rPr>
          <w:rFonts w:ascii="Trebuchet MS" w:hAnsi="Trebuchet MS"/>
          <w:sz w:val="24"/>
          <w:szCs w:val="24"/>
          <w:lang w:val="ru-RU"/>
        </w:rPr>
        <w:t>Сотрудники КуАЭС за год подали более 1 тыс. предложений по улучшению, разработали около 38 ПСР-проектов, направленных на совершенствование всех процессов.  Экономический эффект от реализованных ПСР-проектов - более 194 млн руб.</w:t>
      </w: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r w:rsidRPr="00292733">
        <w:rPr>
          <w:rFonts w:ascii="Trebuchet MS" w:hAnsi="Trebuchet MS"/>
          <w:sz w:val="24"/>
          <w:szCs w:val="24"/>
          <w:lang w:val="ru-RU"/>
        </w:rPr>
        <w:t xml:space="preserve">В 2021 году в модернизацию энергоблоков вложено свыше 5 млрд. рублей. Значительная доля их направлена на управление ресурсными характеристиками реакторных установок действующих энергоблоков. В установленный срок выполнено одно из ключевых событий </w:t>
      </w:r>
      <w:proofErr w:type="spellStart"/>
      <w:r w:rsidRPr="00292733">
        <w:rPr>
          <w:rFonts w:ascii="Trebuchet MS" w:hAnsi="Trebuchet MS"/>
          <w:sz w:val="24"/>
          <w:szCs w:val="24"/>
          <w:lang w:val="ru-RU"/>
        </w:rPr>
        <w:t>инвестпрограммы</w:t>
      </w:r>
      <w:proofErr w:type="spellEnd"/>
      <w:r w:rsidRPr="00292733">
        <w:rPr>
          <w:rFonts w:ascii="Trebuchet MS" w:hAnsi="Trebuchet MS"/>
          <w:sz w:val="24"/>
          <w:szCs w:val="24"/>
          <w:lang w:val="ru-RU"/>
        </w:rPr>
        <w:t xml:space="preserve"> Концерна «Росэнергоатом» - модернизация статора генератора ТВВ-500 турбогенератора № 6 энергоблока № 3, а также проведено обследование оборудования комплексной системы контроля, управления и защиты энергоблока № 3 с целью продления эксплуатации.</w:t>
      </w: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r w:rsidRPr="00292733">
        <w:rPr>
          <w:rFonts w:ascii="Trebuchet MS" w:hAnsi="Trebuchet MS"/>
          <w:sz w:val="24"/>
          <w:szCs w:val="24"/>
          <w:lang w:val="ru-RU"/>
        </w:rPr>
        <w:t xml:space="preserve">Успешно продолжено сооружение первого и второго энергоблоков станции замещения Курская АЭС-2. Все 10 ключевых событий года, а также четыре государственные задания выполнены в соответствии с графиком, а некоторые – с опережением сроков. В здании реактора первого энергоблока завершено устройство шахты реактора, установлены в проектное положение гидроемкости системы аварийного охлаждения активной зоны реактора, завершен монтаж купольной части внутренней защитной оболочки. Завершено бетонирование фундаментной плиты блочной насосной станции и установлена в проектное положение опорная ферма в шахте реактора энергоблока № 2 Курской АЭС-2. </w:t>
      </w: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r w:rsidRPr="00292733">
        <w:rPr>
          <w:rFonts w:ascii="Trebuchet MS" w:hAnsi="Trebuchet MS"/>
          <w:sz w:val="24"/>
          <w:szCs w:val="24"/>
          <w:lang w:val="ru-RU"/>
        </w:rPr>
        <w:t xml:space="preserve">«Строительство энергоблоков Курской АЭС-2 включено в Комплексную программу «Развитие техники, технологий и научных исследований в области использования атомной энергии в Российской Федерации на период до 2024 года», – отметил директор Курской АЭС Вячеслав Федюкин. – В программу сведены основные мероприятия Госкорпорации «Росатом» и партнёров в области атомной науки, технологий и строительства инновационных атомных энергоблоков. Она имеет статус национального проекта и предусматривает, что в 2022 году будут выполняться мероприятия, обеспечивающие физический пуск первого энергоблока Курской АЭС-2, в том числе начнется монтаж корпуса реактора энергоблока № 1 Курской АЭС-2, </w:t>
      </w:r>
      <w:proofErr w:type="spellStart"/>
      <w:r w:rsidRPr="00292733">
        <w:rPr>
          <w:rFonts w:ascii="Trebuchet MS" w:hAnsi="Trebuchet MS"/>
          <w:sz w:val="24"/>
          <w:szCs w:val="24"/>
          <w:lang w:val="ru-RU"/>
        </w:rPr>
        <w:t>энергопуск</w:t>
      </w:r>
      <w:proofErr w:type="spellEnd"/>
      <w:r w:rsidRPr="00292733">
        <w:rPr>
          <w:rFonts w:ascii="Trebuchet MS" w:hAnsi="Trebuchet MS"/>
          <w:sz w:val="24"/>
          <w:szCs w:val="24"/>
          <w:lang w:val="ru-RU"/>
        </w:rPr>
        <w:t xml:space="preserve"> которого запланирован на конец 2025 года».</w:t>
      </w: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r w:rsidRPr="00292733">
        <w:rPr>
          <w:rFonts w:ascii="Trebuchet MS" w:hAnsi="Trebuchet MS"/>
          <w:sz w:val="24"/>
          <w:szCs w:val="24"/>
          <w:lang w:val="ru-RU"/>
        </w:rPr>
        <w:t xml:space="preserve">Курская АЭС остается одним из лидеров социального развития региона </w:t>
      </w:r>
      <w:proofErr w:type="spellStart"/>
      <w:proofErr w:type="gramStart"/>
      <w:r w:rsidRPr="00292733">
        <w:rPr>
          <w:rFonts w:ascii="Trebuchet MS" w:hAnsi="Trebuchet MS"/>
          <w:sz w:val="24"/>
          <w:szCs w:val="24"/>
          <w:lang w:val="ru-RU"/>
        </w:rPr>
        <w:t>присут-ствия</w:t>
      </w:r>
      <w:proofErr w:type="spellEnd"/>
      <w:proofErr w:type="gramEnd"/>
      <w:r w:rsidRPr="00292733">
        <w:rPr>
          <w:rFonts w:ascii="Trebuchet MS" w:hAnsi="Trebuchet MS"/>
          <w:sz w:val="24"/>
          <w:szCs w:val="24"/>
          <w:lang w:val="ru-RU"/>
        </w:rPr>
        <w:t xml:space="preserve">. В рамках Соглашения между </w:t>
      </w:r>
      <w:proofErr w:type="spellStart"/>
      <w:r w:rsidRPr="00292733">
        <w:rPr>
          <w:rFonts w:ascii="Trebuchet MS" w:hAnsi="Trebuchet MS"/>
          <w:sz w:val="24"/>
          <w:szCs w:val="24"/>
          <w:lang w:val="ru-RU"/>
        </w:rPr>
        <w:t>Госкорпорацией</w:t>
      </w:r>
      <w:proofErr w:type="spellEnd"/>
      <w:r w:rsidRPr="00292733">
        <w:rPr>
          <w:rFonts w:ascii="Trebuchet MS" w:hAnsi="Trebuchet MS"/>
          <w:sz w:val="24"/>
          <w:szCs w:val="24"/>
          <w:lang w:val="ru-RU"/>
        </w:rPr>
        <w:t xml:space="preserve"> «Росатом» и </w:t>
      </w:r>
      <w:proofErr w:type="spellStart"/>
      <w:proofErr w:type="gramStart"/>
      <w:r w:rsidRPr="00292733">
        <w:rPr>
          <w:rFonts w:ascii="Trebuchet MS" w:hAnsi="Trebuchet MS"/>
          <w:sz w:val="24"/>
          <w:szCs w:val="24"/>
          <w:lang w:val="ru-RU"/>
        </w:rPr>
        <w:t>администра-цией</w:t>
      </w:r>
      <w:proofErr w:type="spellEnd"/>
      <w:proofErr w:type="gramEnd"/>
      <w:r w:rsidRPr="00292733">
        <w:rPr>
          <w:rFonts w:ascii="Trebuchet MS" w:hAnsi="Trebuchet MS"/>
          <w:sz w:val="24"/>
          <w:szCs w:val="24"/>
          <w:lang w:val="ru-RU"/>
        </w:rPr>
        <w:t xml:space="preserve"> Курской области в 2021 году на развитие социальной инфраструктуры города Курчатова направлено более 311,5 млн рублей дополнительных налоговых отчислений – на строительство автомобильных дорог, благоустройство, ремонт учреждений образования и культуры и другие мероприятия.</w:t>
      </w:r>
    </w:p>
    <w:p w:rsidR="00292733" w:rsidRP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</w:p>
    <w:p w:rsidR="00C40EDA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r w:rsidRPr="00292733">
        <w:rPr>
          <w:rFonts w:ascii="Trebuchet MS" w:hAnsi="Trebuchet MS"/>
          <w:sz w:val="24"/>
          <w:szCs w:val="24"/>
          <w:lang w:val="ru-RU"/>
        </w:rPr>
        <w:t xml:space="preserve">В 2022 году тремя энергоблоками Курской АЭС намечено выработать не менее 19,836 млрд </w:t>
      </w:r>
      <w:proofErr w:type="spellStart"/>
      <w:r w:rsidRPr="00292733">
        <w:rPr>
          <w:rFonts w:ascii="Trebuchet MS" w:hAnsi="Trebuchet MS"/>
          <w:sz w:val="24"/>
          <w:szCs w:val="24"/>
          <w:lang w:val="ru-RU"/>
        </w:rPr>
        <w:t>кВт.ч</w:t>
      </w:r>
      <w:proofErr w:type="spellEnd"/>
      <w:r w:rsidRPr="00292733">
        <w:rPr>
          <w:rFonts w:ascii="Trebuchet MS" w:hAnsi="Trebuchet MS"/>
          <w:sz w:val="24"/>
          <w:szCs w:val="24"/>
          <w:lang w:val="ru-RU"/>
        </w:rPr>
        <w:t xml:space="preserve"> электроэнергии, выполнить планово-предупредительные ремонты всех действующих энергоблоков общей продолжительностью 255 дней с проведением работ по управлению ресурсными характеристиками реакторных установок.</w:t>
      </w:r>
    </w:p>
    <w:p w:rsidR="00292733" w:rsidRDefault="00292733" w:rsidP="00292733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  <w:lang w:val="ru-RU"/>
        </w:rPr>
      </w:pPr>
      <w:bookmarkStart w:id="0" w:name="_GoBack"/>
      <w:bookmarkEnd w:id="0"/>
    </w:p>
    <w:p w:rsidR="00500E69" w:rsidRPr="005D2358" w:rsidRDefault="00500E69" w:rsidP="005D2358">
      <w:pPr>
        <w:shd w:val="clear" w:color="auto" w:fill="FFFFFF"/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5D2358">
        <w:rPr>
          <w:rFonts w:ascii="Trebuchet MS" w:hAnsi="Trebuchet MS"/>
          <w:sz w:val="24"/>
          <w:szCs w:val="24"/>
        </w:rPr>
        <w:t>Управление информации и общественных связей Курской АЭС</w:t>
      </w:r>
    </w:p>
    <w:p w:rsidR="007979BF" w:rsidRPr="005D2358" w:rsidRDefault="007979BF" w:rsidP="005D2358">
      <w:pPr>
        <w:pStyle w:val="detnewstitle"/>
        <w:shd w:val="clear" w:color="auto" w:fill="FFFFFF"/>
        <w:spacing w:beforeAutospacing="0" w:afterAutospacing="0"/>
        <w:jc w:val="both"/>
        <w:rPr>
          <w:rFonts w:ascii="Trebuchet MS" w:hAnsi="Trebuchet MS"/>
          <w:lang w:val="ru"/>
        </w:rPr>
      </w:pPr>
    </w:p>
    <w:sectPr w:rsidR="007979BF" w:rsidRPr="005D2358">
      <w:pgSz w:w="11906" w:h="16838"/>
      <w:pgMar w:top="575" w:right="1440" w:bottom="454" w:left="1440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6"/>
    <w:rsid w:val="00011738"/>
    <w:rsid w:val="000149D6"/>
    <w:rsid w:val="0004242F"/>
    <w:rsid w:val="00043AAE"/>
    <w:rsid w:val="00054486"/>
    <w:rsid w:val="000C0672"/>
    <w:rsid w:val="0012067B"/>
    <w:rsid w:val="001D3D4A"/>
    <w:rsid w:val="002750AA"/>
    <w:rsid w:val="0028282B"/>
    <w:rsid w:val="00292733"/>
    <w:rsid w:val="003562A6"/>
    <w:rsid w:val="004A0865"/>
    <w:rsid w:val="004A6685"/>
    <w:rsid w:val="00500E69"/>
    <w:rsid w:val="00511D86"/>
    <w:rsid w:val="005D2358"/>
    <w:rsid w:val="005D302A"/>
    <w:rsid w:val="006159CF"/>
    <w:rsid w:val="00660520"/>
    <w:rsid w:val="00704D68"/>
    <w:rsid w:val="00726256"/>
    <w:rsid w:val="007979BF"/>
    <w:rsid w:val="00840A6D"/>
    <w:rsid w:val="00883CDD"/>
    <w:rsid w:val="00885FA7"/>
    <w:rsid w:val="00987A40"/>
    <w:rsid w:val="00A55904"/>
    <w:rsid w:val="00AC7974"/>
    <w:rsid w:val="00B31775"/>
    <w:rsid w:val="00BA64FC"/>
    <w:rsid w:val="00C21181"/>
    <w:rsid w:val="00C40EDA"/>
    <w:rsid w:val="00C70AC9"/>
    <w:rsid w:val="00EA62C7"/>
    <w:rsid w:val="00F128CD"/>
    <w:rsid w:val="00F256A6"/>
    <w:rsid w:val="00F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C2371-710F-48AC-9BFC-8947776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sid w:val="00AC4ABA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news-date-time">
    <w:name w:val="news-date-time"/>
    <w:basedOn w:val="a0"/>
    <w:qFormat/>
    <w:rsid w:val="003F3631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0E18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rsid w:val="00275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19</cp:revision>
  <cp:lastPrinted>2021-01-19T11:28:00Z</cp:lastPrinted>
  <dcterms:created xsi:type="dcterms:W3CDTF">2021-12-29T12:34:00Z</dcterms:created>
  <dcterms:modified xsi:type="dcterms:W3CDTF">2021-12-30T08:42:00Z</dcterms:modified>
  <dc:language>ru-RU</dc:language>
</cp:coreProperties>
</file>