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C7AEF" w:rsidRDefault="008E58E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C7AEF" w:rsidRDefault="007F07F7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8E58E9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20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.01.2022</w:t>
      </w:r>
    </w:p>
    <w:p w:rsidR="00754036" w:rsidRDefault="00601D8F" w:rsidP="008E58E9">
      <w:pPr>
        <w:spacing w:before="100" w:beforeAutospacing="1" w:after="80" w:line="240" w:lineRule="auto"/>
        <w:jc w:val="both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Н</w:t>
      </w:r>
      <w:r w:rsidR="00754036">
        <w:rPr>
          <w:rFonts w:ascii="Trebuchet MS" w:eastAsia="Rosatom" w:hAnsi="Trebuchet MS"/>
          <w:b/>
          <w:color w:val="343433"/>
          <w:sz w:val="24"/>
          <w:szCs w:val="24"/>
        </w:rPr>
        <w:t>а Курской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 xml:space="preserve"> АЭС-2 </w:t>
      </w:r>
      <w:r>
        <w:rPr>
          <w:rFonts w:ascii="Trebuchet MS" w:eastAsia="Rosatom" w:hAnsi="Trebuchet MS"/>
          <w:b/>
          <w:color w:val="343433"/>
          <w:sz w:val="24"/>
          <w:szCs w:val="24"/>
        </w:rPr>
        <w:t>в 2022 году планируется</w:t>
      </w:r>
      <w:r w:rsidR="00754036">
        <w:rPr>
          <w:rFonts w:ascii="Trebuchet MS" w:eastAsia="Rosatom" w:hAnsi="Trebuchet MS"/>
          <w:b/>
          <w:color w:val="343433"/>
          <w:sz w:val="24"/>
          <w:szCs w:val="24"/>
        </w:rPr>
        <w:t xml:space="preserve"> строительство </w:t>
      </w:r>
      <w:r>
        <w:rPr>
          <w:rFonts w:ascii="Trebuchet MS" w:eastAsia="Rosatom" w:hAnsi="Trebuchet MS"/>
          <w:b/>
          <w:color w:val="343433"/>
          <w:sz w:val="24"/>
          <w:szCs w:val="24"/>
        </w:rPr>
        <w:t>одновременно 147 объектов</w:t>
      </w:r>
    </w:p>
    <w:p w:rsidR="004F35C7" w:rsidRPr="006847F4" w:rsidRDefault="004F35C7" w:rsidP="008E58E9">
      <w:pPr>
        <w:spacing w:before="100" w:beforeAutospacing="1" w:after="80" w:line="240" w:lineRule="auto"/>
        <w:jc w:val="both"/>
        <w:rPr>
          <w:rFonts w:ascii="Trebuchet MS" w:hAnsi="Trebuchet MS"/>
          <w:color w:val="404040" w:themeColor="text1" w:themeTint="BF"/>
        </w:rPr>
      </w:pPr>
      <w:r w:rsidRPr="006847F4">
        <w:rPr>
          <w:rFonts w:ascii="Trebuchet MS" w:hAnsi="Trebuchet MS"/>
          <w:color w:val="404040" w:themeColor="text1" w:themeTint="BF"/>
        </w:rPr>
        <w:t>Готовность Курской АЭС-2 на начало 2022 года составила 37,49% – треть станции замещения построена, что соответствует планам соор</w:t>
      </w:r>
      <w:r w:rsidR="008E58E9">
        <w:rPr>
          <w:rFonts w:ascii="Trebuchet MS" w:hAnsi="Trebuchet MS"/>
          <w:color w:val="404040" w:themeColor="text1" w:themeTint="BF"/>
        </w:rPr>
        <w:t>ужения объекта двухблочной АЭС.</w:t>
      </w:r>
    </w:p>
    <w:p w:rsidR="004F35C7" w:rsidRPr="006847F4" w:rsidRDefault="004F35C7" w:rsidP="008E58E9">
      <w:pPr>
        <w:pStyle w:val="detnewstitle"/>
        <w:shd w:val="clear" w:color="auto" w:fill="FFFFFF"/>
        <w:spacing w:after="0" w:afterAutospacing="0"/>
        <w:jc w:val="both"/>
        <w:rPr>
          <w:rFonts w:ascii="Trebuchet MS" w:hAnsi="Trebuchet MS"/>
          <w:color w:val="404040" w:themeColor="text1" w:themeTint="BF"/>
        </w:rPr>
      </w:pPr>
      <w:r w:rsidRPr="006847F4">
        <w:rPr>
          <w:rFonts w:ascii="Trebuchet MS" w:hAnsi="Trebuchet MS"/>
          <w:color w:val="404040" w:themeColor="text1" w:themeTint="BF"/>
        </w:rPr>
        <w:t>В прошедшем году строители завершили монтаж каркаса здания турбины. Его высота составляет 49 метров. Практ</w:t>
      </w:r>
      <w:r w:rsidR="00754036">
        <w:rPr>
          <w:rFonts w:ascii="Trebuchet MS" w:hAnsi="Trebuchet MS"/>
          <w:color w:val="404040" w:themeColor="text1" w:themeTint="BF"/>
        </w:rPr>
        <w:t xml:space="preserve">ически закрыт тепловой контур. </w:t>
      </w:r>
      <w:r w:rsidRPr="006847F4">
        <w:rPr>
          <w:rFonts w:ascii="Trebuchet MS" w:hAnsi="Trebuchet MS"/>
          <w:color w:val="404040" w:themeColor="text1" w:themeTint="BF"/>
        </w:rPr>
        <w:t>В реакторном здании первого энергоблока завершён монтаж купольной части внутренней защитной оболочки, что дает возможность приступить к подключению и пуску полярного крана, монтажу корпуса реактора, парогенератора, главного циркуляционного трубопровода. За 2021 год значительно вытянулась испарительная градирня первого энергоблока – 90 метров.</w:t>
      </w:r>
    </w:p>
    <w:p w:rsidR="004F35C7" w:rsidRPr="006847F4" w:rsidRDefault="004F35C7" w:rsidP="008E58E9">
      <w:pPr>
        <w:pStyle w:val="detnewstitle"/>
        <w:shd w:val="clear" w:color="auto" w:fill="FFFFFF"/>
        <w:spacing w:after="0" w:afterAutospacing="0"/>
        <w:jc w:val="both"/>
        <w:rPr>
          <w:rFonts w:ascii="Trebuchet MS" w:hAnsi="Trebuchet MS"/>
          <w:color w:val="404040" w:themeColor="text1" w:themeTint="BF"/>
        </w:rPr>
      </w:pPr>
      <w:r w:rsidRPr="006847F4">
        <w:rPr>
          <w:rFonts w:ascii="Trebuchet MS" w:hAnsi="Trebuchet MS"/>
          <w:color w:val="404040" w:themeColor="text1" w:themeTint="BF"/>
        </w:rPr>
        <w:t xml:space="preserve">«В прошлом году на площадке одновременно велись работы на 115 объектах. Освоено порядка 48 миллиардов рублей, – отметил первый заместитель директора по сооружению новых блоков </w:t>
      </w:r>
      <w:r w:rsidRPr="006847F4">
        <w:rPr>
          <w:rFonts w:ascii="Trebuchet MS" w:hAnsi="Trebuchet MS"/>
          <w:b/>
          <w:color w:val="404040" w:themeColor="text1" w:themeTint="BF"/>
        </w:rPr>
        <w:t xml:space="preserve">Андрей </w:t>
      </w:r>
      <w:proofErr w:type="spellStart"/>
      <w:r w:rsidRPr="006847F4">
        <w:rPr>
          <w:rFonts w:ascii="Trebuchet MS" w:hAnsi="Trebuchet MS"/>
          <w:b/>
          <w:color w:val="404040" w:themeColor="text1" w:themeTint="BF"/>
        </w:rPr>
        <w:t>Ошарин</w:t>
      </w:r>
      <w:proofErr w:type="spellEnd"/>
      <w:r w:rsidRPr="006847F4">
        <w:rPr>
          <w:rFonts w:ascii="Trebuchet MS" w:hAnsi="Trebuchet MS"/>
          <w:color w:val="404040" w:themeColor="text1" w:themeTint="BF"/>
        </w:rPr>
        <w:t>. – В новый год входим активно. Работы предстоит еще больше».</w:t>
      </w:r>
      <w:bookmarkStart w:id="0" w:name="_GoBack"/>
      <w:bookmarkEnd w:id="0"/>
    </w:p>
    <w:p w:rsidR="004F35C7" w:rsidRPr="006847F4" w:rsidRDefault="004F35C7" w:rsidP="008E58E9">
      <w:pPr>
        <w:pStyle w:val="detnewstitle"/>
        <w:shd w:val="clear" w:color="auto" w:fill="FFFFFF"/>
        <w:spacing w:after="0" w:afterAutospacing="0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6847F4">
        <w:rPr>
          <w:rFonts w:ascii="Trebuchet MS" w:hAnsi="Trebuchet MS"/>
          <w:color w:val="404040" w:themeColor="text1" w:themeTint="BF"/>
        </w:rPr>
        <w:t xml:space="preserve">Список ключевых событий на 2022 год сегодня проходит этап согласования. На данный момент в перечне важных задач на 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 xml:space="preserve">энергоблоке №1 </w:t>
      </w:r>
      <w:r w:rsidRPr="006847F4">
        <w:rPr>
          <w:rFonts w:ascii="Trebuchet MS" w:hAnsi="Trebuchet MS"/>
          <w:color w:val="404040" w:themeColor="text1" w:themeTint="BF"/>
        </w:rPr>
        <w:t>значатся – устройство теплового контура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>, ввод в эксплуатацию мостового крана кругового действия,</w:t>
      </w:r>
      <w:r w:rsidRPr="006847F4">
        <w:rPr>
          <w:rFonts w:ascii="Trebuchet MS" w:hAnsi="Trebuchet MS"/>
          <w:color w:val="404040" w:themeColor="text1" w:themeTint="BF"/>
        </w:rPr>
        <w:t xml:space="preserve"> у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 xml:space="preserve">становка корпуса реактора в проектное положение. На энергоблоке №2 </w:t>
      </w:r>
      <w:r w:rsidRPr="006847F4">
        <w:rPr>
          <w:rFonts w:ascii="Trebuchet MS" w:hAnsi="Trebuchet MS"/>
          <w:color w:val="404040" w:themeColor="text1" w:themeTint="BF"/>
        </w:rPr>
        <w:t>–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 xml:space="preserve"> окончание бетонирования перекрытий установки главных циркуляционных насосов, установка в проектное положение емкостей САОЗ, окончание бетонирования опор под парогенераторы.</w:t>
      </w:r>
    </w:p>
    <w:p w:rsidR="004F35C7" w:rsidRPr="006847F4" w:rsidRDefault="004F35C7" w:rsidP="008E58E9">
      <w:pPr>
        <w:pStyle w:val="detnewstitle"/>
        <w:shd w:val="clear" w:color="auto" w:fill="FFFFFF"/>
        <w:spacing w:after="0" w:afterAutospacing="0"/>
        <w:jc w:val="both"/>
        <w:rPr>
          <w:rFonts w:ascii="Trebuchet MS" w:hAnsi="Trebuchet MS"/>
          <w:color w:val="404040" w:themeColor="text1" w:themeTint="BF"/>
        </w:rPr>
      </w:pPr>
      <w:r w:rsidRPr="006847F4">
        <w:rPr>
          <w:rStyle w:val="apple-converted-space"/>
          <w:rFonts w:ascii="Trebuchet MS" w:hAnsi="Trebuchet MS"/>
          <w:color w:val="404040" w:themeColor="text1" w:themeTint="BF"/>
        </w:rPr>
        <w:t xml:space="preserve">«То, что перечень ключевых событий и государственных заданий уточняется, не мешает продолжать работы, </w:t>
      </w:r>
      <w:r w:rsidRPr="006847F4">
        <w:rPr>
          <w:rFonts w:ascii="Trebuchet MS" w:hAnsi="Trebuchet MS"/>
          <w:color w:val="404040" w:themeColor="text1" w:themeTint="BF"/>
        </w:rPr>
        <w:t>–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 xml:space="preserve"> пояснил </w:t>
      </w:r>
      <w:r w:rsidRPr="006847F4">
        <w:rPr>
          <w:rFonts w:ascii="Trebuchet MS" w:hAnsi="Trebuchet MS"/>
          <w:b/>
          <w:color w:val="404040" w:themeColor="text1" w:themeTint="BF"/>
        </w:rPr>
        <w:t xml:space="preserve">Андрей </w:t>
      </w:r>
      <w:proofErr w:type="spellStart"/>
      <w:r w:rsidRPr="006847F4">
        <w:rPr>
          <w:rFonts w:ascii="Trebuchet MS" w:hAnsi="Trebuchet MS"/>
          <w:b/>
          <w:color w:val="404040" w:themeColor="text1" w:themeTint="BF"/>
        </w:rPr>
        <w:t>Ошарин</w:t>
      </w:r>
      <w:proofErr w:type="spellEnd"/>
      <w:r w:rsidRPr="006847F4">
        <w:rPr>
          <w:rFonts w:ascii="Trebuchet MS" w:hAnsi="Trebuchet MS"/>
          <w:color w:val="404040" w:themeColor="text1" w:themeTint="BF"/>
        </w:rPr>
        <w:t xml:space="preserve">. – В 2022 году приступаем к выполнению мероприятий, обеспечивающих физический пуск первого энергоблока. Начнем сооружение еще 32 объектов. </w:t>
      </w:r>
      <w:r w:rsidRPr="006847F4">
        <w:rPr>
          <w:rStyle w:val="apple-converted-space"/>
          <w:rFonts w:ascii="Trebuchet MS" w:hAnsi="Trebuchet MS"/>
          <w:color w:val="404040" w:themeColor="text1" w:themeTint="BF"/>
        </w:rPr>
        <w:t>В планах уложить свыше 164 тысячи кубометров бетона.</w:t>
      </w:r>
      <w:r w:rsidRPr="006847F4">
        <w:rPr>
          <w:rFonts w:ascii="Trebuchet MS" w:hAnsi="Trebuchet MS"/>
          <w:color w:val="404040" w:themeColor="text1" w:themeTint="BF"/>
        </w:rPr>
        <w:t xml:space="preserve"> Численность персонала достигнет 9 тысяч человек, это без учета инженерного состава».</w:t>
      </w:r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A2620"/>
    <w:rsid w:val="000C31EF"/>
    <w:rsid w:val="000E1C2F"/>
    <w:rsid w:val="0016122E"/>
    <w:rsid w:val="00235813"/>
    <w:rsid w:val="002E55CC"/>
    <w:rsid w:val="00316B6E"/>
    <w:rsid w:val="003750BB"/>
    <w:rsid w:val="003849A0"/>
    <w:rsid w:val="00386FC3"/>
    <w:rsid w:val="003B2E8B"/>
    <w:rsid w:val="003B6550"/>
    <w:rsid w:val="004F35C7"/>
    <w:rsid w:val="005E4D49"/>
    <w:rsid w:val="00601D8F"/>
    <w:rsid w:val="006847F4"/>
    <w:rsid w:val="006A0670"/>
    <w:rsid w:val="00754036"/>
    <w:rsid w:val="007C7BF8"/>
    <w:rsid w:val="007F07F7"/>
    <w:rsid w:val="00844087"/>
    <w:rsid w:val="008936C5"/>
    <w:rsid w:val="008E58E9"/>
    <w:rsid w:val="00A411D3"/>
    <w:rsid w:val="00C812D5"/>
    <w:rsid w:val="00CC7AEF"/>
    <w:rsid w:val="00D0248D"/>
    <w:rsid w:val="00D50753"/>
    <w:rsid w:val="00E16137"/>
    <w:rsid w:val="00F04A24"/>
    <w:rsid w:val="00F21946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4C1B-CA96-4856-B25E-1817A0EC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19</cp:revision>
  <cp:lastPrinted>2021-12-16T06:09:00Z</cp:lastPrinted>
  <dcterms:created xsi:type="dcterms:W3CDTF">2021-12-16T08:16:00Z</dcterms:created>
  <dcterms:modified xsi:type="dcterms:W3CDTF">2022-01-20T10:44:00Z</dcterms:modified>
  <dc:language>ru-RU</dc:language>
</cp:coreProperties>
</file>