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7C" w:rsidRDefault="001C6F7C" w:rsidP="003F3CC2">
      <w:pPr>
        <w:rPr>
          <w:szCs w:val="28"/>
        </w:rPr>
      </w:pPr>
    </w:p>
    <w:p w:rsidR="006F7A30" w:rsidRPr="009B459F" w:rsidRDefault="006F7A30" w:rsidP="006F7A30">
      <w:pPr>
        <w:jc w:val="center"/>
        <w:rPr>
          <w:b/>
          <w:szCs w:val="28"/>
        </w:rPr>
      </w:pPr>
      <w:r w:rsidRPr="009B459F">
        <w:rPr>
          <w:b/>
          <w:szCs w:val="28"/>
        </w:rPr>
        <w:t>Ученый Алтайского ГАУ оценил загрязненность охотничьих животных экотоксикантами</w:t>
      </w:r>
    </w:p>
    <w:p w:rsidR="006F7A30" w:rsidRPr="009B459F" w:rsidRDefault="006F7A30" w:rsidP="006F7A30">
      <w:pPr>
        <w:rPr>
          <w:szCs w:val="28"/>
        </w:rPr>
      </w:pPr>
    </w:p>
    <w:p w:rsidR="006F7A30" w:rsidRPr="009B459F" w:rsidRDefault="006F7A30" w:rsidP="006F7A30">
      <w:pPr>
        <w:tabs>
          <w:tab w:val="left" w:pos="1134"/>
        </w:tabs>
        <w:ind w:firstLine="567"/>
        <w:rPr>
          <w:i/>
          <w:szCs w:val="28"/>
        </w:rPr>
      </w:pPr>
      <w:r w:rsidRPr="009B459F">
        <w:rPr>
          <w:i/>
          <w:szCs w:val="28"/>
        </w:rPr>
        <w:t xml:space="preserve">В Алтайском государственном аграрном университете подготовили к изданию монографию «Охотничье хозяйство Алтая. Экологические и организационные аспекты». В книге ее автор, к.б.н., доцент кафедры лесного хозяйства АГАУ </w:t>
      </w:r>
      <w:r w:rsidRPr="009B459F">
        <w:rPr>
          <w:b/>
          <w:i/>
          <w:szCs w:val="28"/>
        </w:rPr>
        <w:t>Александр Яковлевич Бондарев</w:t>
      </w:r>
      <w:r w:rsidRPr="009B459F">
        <w:rPr>
          <w:i/>
          <w:szCs w:val="28"/>
        </w:rPr>
        <w:t>, подвел итоги более 40-летнего исследования развития охотничьего и лесного хозяйства Алтайского края и Республики Алтай.</w:t>
      </w:r>
    </w:p>
    <w:p w:rsidR="006F7A30" w:rsidRPr="009B459F" w:rsidRDefault="006F7A30" w:rsidP="006F7A30">
      <w:pPr>
        <w:tabs>
          <w:tab w:val="left" w:pos="1134"/>
        </w:tabs>
        <w:ind w:firstLine="567"/>
        <w:rPr>
          <w:szCs w:val="28"/>
        </w:rPr>
      </w:pPr>
    </w:p>
    <w:p w:rsidR="006F7A30" w:rsidRPr="009B459F" w:rsidRDefault="006F7A30" w:rsidP="006F7A30">
      <w:pPr>
        <w:tabs>
          <w:tab w:val="left" w:pos="1134"/>
        </w:tabs>
        <w:ind w:firstLine="567"/>
        <w:rPr>
          <w:szCs w:val="28"/>
        </w:rPr>
      </w:pPr>
      <w:r w:rsidRPr="009B459F">
        <w:rPr>
          <w:szCs w:val="28"/>
        </w:rPr>
        <w:t xml:space="preserve">В издании представлен ретроспективный обзор состояния среды обитания охотничьих животных, изменения их ресурсов, оценено воздействие на них различных факторов, освещена история и современное состояние охотничьего хозяйства в пределах Алтайского края и Республики Алтай, предложены апробированные способы мониторинга за охотничьей фауной, меры по улучшению ее охраны и развитию охотничьего хозяйства. </w:t>
      </w:r>
    </w:p>
    <w:p w:rsidR="006F7A30" w:rsidRPr="009B459F" w:rsidRDefault="006F7A30" w:rsidP="006F7A30">
      <w:pPr>
        <w:rPr>
          <w:szCs w:val="28"/>
        </w:rPr>
      </w:pPr>
      <w:r w:rsidRPr="009B459F">
        <w:rPr>
          <w:szCs w:val="28"/>
        </w:rPr>
        <w:t>Анализ проведенных на протяжении многих лет исследований позволил ученому</w:t>
      </w:r>
      <w:r>
        <w:rPr>
          <w:szCs w:val="28"/>
        </w:rPr>
        <w:t xml:space="preserve">, в частности, </w:t>
      </w:r>
      <w:r w:rsidRPr="009B459F">
        <w:rPr>
          <w:szCs w:val="28"/>
        </w:rPr>
        <w:t xml:space="preserve">оценить уровень загрязненности охотничьих животных Алтая и ряда других регионов России экотоксикантами: хлорорганическими </w:t>
      </w:r>
      <w:r>
        <w:rPr>
          <w:szCs w:val="28"/>
        </w:rPr>
        <w:t>пестицидами и тяжелыми металлами</w:t>
      </w:r>
      <w:r w:rsidRPr="009B459F">
        <w:rPr>
          <w:szCs w:val="28"/>
        </w:rPr>
        <w:t xml:space="preserve"> </w:t>
      </w:r>
      <w:r>
        <w:rPr>
          <w:szCs w:val="28"/>
        </w:rPr>
        <w:t>(</w:t>
      </w:r>
      <w:r w:rsidRPr="009B459F">
        <w:rPr>
          <w:szCs w:val="28"/>
        </w:rPr>
        <w:t>кадмием, свинцом, стронцием и т.п.</w:t>
      </w:r>
      <w:r>
        <w:rPr>
          <w:szCs w:val="28"/>
        </w:rPr>
        <w:t xml:space="preserve">). </w:t>
      </w:r>
    </w:p>
    <w:p w:rsidR="006F7A30" w:rsidRPr="009B459F" w:rsidRDefault="006F7A30" w:rsidP="006F7A30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Еще в</w:t>
      </w:r>
      <w:r w:rsidRPr="009B459F">
        <w:rPr>
          <w:color w:val="000000"/>
          <w:szCs w:val="28"/>
        </w:rPr>
        <w:t xml:space="preserve"> 1970-е годы </w:t>
      </w:r>
      <w:r>
        <w:rPr>
          <w:b/>
          <w:color w:val="000000"/>
          <w:szCs w:val="28"/>
        </w:rPr>
        <w:t>Александром</w:t>
      </w:r>
      <w:r w:rsidRPr="00060D10">
        <w:rPr>
          <w:b/>
          <w:color w:val="000000"/>
          <w:szCs w:val="28"/>
        </w:rPr>
        <w:t xml:space="preserve"> Бондаревым</w:t>
      </w:r>
      <w:r>
        <w:rPr>
          <w:color w:val="000000"/>
          <w:szCs w:val="28"/>
        </w:rPr>
        <w:t xml:space="preserve"> вместе с коллегами было </w:t>
      </w:r>
      <w:r w:rsidRPr="009B459F">
        <w:rPr>
          <w:color w:val="000000"/>
          <w:szCs w:val="28"/>
        </w:rPr>
        <w:t>обследовано более 5</w:t>
      </w:r>
      <w:r>
        <w:rPr>
          <w:color w:val="000000"/>
          <w:szCs w:val="28"/>
        </w:rPr>
        <w:t>00 животных 7 видов</w:t>
      </w:r>
      <w:r w:rsidRPr="009B459F">
        <w:rPr>
          <w:color w:val="000000"/>
          <w:szCs w:val="28"/>
        </w:rPr>
        <w:t xml:space="preserve"> в Якутии, Алтайском крае и Смоленской области на содержание хлорорганических пестицидов</w:t>
      </w:r>
      <w:r>
        <w:rPr>
          <w:color w:val="000000"/>
          <w:szCs w:val="28"/>
        </w:rPr>
        <w:t>.</w:t>
      </w:r>
      <w:r w:rsidRPr="009B459F">
        <w:rPr>
          <w:color w:val="000000"/>
          <w:szCs w:val="28"/>
        </w:rPr>
        <w:t xml:space="preserve"> </w:t>
      </w:r>
      <w:r w:rsidRPr="009B459F">
        <w:rPr>
          <w:rStyle w:val="ab"/>
          <w:rFonts w:ascii="Times New Roman" w:hAnsi="Times New Roman"/>
          <w:color w:val="000000"/>
          <w:sz w:val="28"/>
          <w:szCs w:val="28"/>
        </w:rPr>
        <w:t xml:space="preserve">В </w:t>
      </w:r>
      <w:r w:rsidRPr="009B459F">
        <w:rPr>
          <w:rStyle w:val="ab"/>
          <w:rFonts w:ascii="Times New Roman" w:hAnsi="Times New Roman"/>
          <w:color w:val="000000"/>
          <w:sz w:val="28"/>
          <w:szCs w:val="28"/>
        </w:rPr>
        <w:lastRenderedPageBreak/>
        <w:t>Алтайском крае и Республике Алтай исследовали волков из животноводческих и неживотноводческих районов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(преимущественно лесных)</w:t>
      </w:r>
      <w:r w:rsidRPr="009B459F">
        <w:rPr>
          <w:rStyle w:val="ab"/>
          <w:rFonts w:ascii="Times New Roman" w:hAnsi="Times New Roman"/>
          <w:color w:val="000000"/>
          <w:sz w:val="28"/>
          <w:szCs w:val="28"/>
        </w:rPr>
        <w:t xml:space="preserve">. Содержание хлорорганических пестицидов в организме волков, обитавших в животноводческих районах, оказалось существенно выше, чем в лесной зоне. </w:t>
      </w:r>
      <w:r w:rsidRPr="009B459F">
        <w:rPr>
          <w:color w:val="000000"/>
          <w:szCs w:val="28"/>
        </w:rPr>
        <w:t xml:space="preserve">Там </w:t>
      </w:r>
      <w:r>
        <w:rPr>
          <w:color w:val="000000"/>
          <w:szCs w:val="28"/>
        </w:rPr>
        <w:t xml:space="preserve">инсектициды </w:t>
      </w:r>
      <w:r w:rsidRPr="009B459F">
        <w:rPr>
          <w:color w:val="000000"/>
          <w:szCs w:val="28"/>
        </w:rPr>
        <w:t xml:space="preserve">ДДТ и ДДД в большинстве проб не </w:t>
      </w:r>
      <w:r>
        <w:rPr>
          <w:color w:val="000000"/>
          <w:szCs w:val="28"/>
        </w:rPr>
        <w:t xml:space="preserve">были </w:t>
      </w:r>
      <w:r w:rsidRPr="009B459F">
        <w:rPr>
          <w:color w:val="000000"/>
          <w:szCs w:val="28"/>
        </w:rPr>
        <w:t xml:space="preserve">обнаружены, а ГХЦГ </w:t>
      </w:r>
      <w:r>
        <w:rPr>
          <w:color w:val="000000"/>
          <w:szCs w:val="28"/>
        </w:rPr>
        <w:t xml:space="preserve">(гексахлоран) </w:t>
      </w:r>
      <w:r w:rsidRPr="009B459F">
        <w:rPr>
          <w:color w:val="000000"/>
          <w:szCs w:val="28"/>
        </w:rPr>
        <w:t>отмечен лишь в виде его следов, при концентрациях менее 0,002 мг/кг.</w:t>
      </w:r>
    </w:p>
    <w:p w:rsidR="006F7A30" w:rsidRPr="009B459F" w:rsidRDefault="006F7A30" w:rsidP="006F7A30">
      <w:pPr>
        <w:ind w:firstLine="567"/>
        <w:rPr>
          <w:color w:val="000000"/>
          <w:szCs w:val="28"/>
        </w:rPr>
      </w:pPr>
      <w:r w:rsidRPr="009B459F">
        <w:rPr>
          <w:color w:val="000000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9B459F">
          <w:rPr>
            <w:color w:val="000000"/>
            <w:szCs w:val="28"/>
          </w:rPr>
          <w:t xml:space="preserve">2006 году </w:t>
        </w:r>
        <w:r>
          <w:rPr>
            <w:color w:val="000000"/>
            <w:szCs w:val="28"/>
          </w:rPr>
          <w:t xml:space="preserve">Бондарев </w:t>
        </w:r>
      </w:smartTag>
      <w:r>
        <w:rPr>
          <w:color w:val="000000"/>
          <w:szCs w:val="28"/>
        </w:rPr>
        <w:t>возобновил</w:t>
      </w:r>
      <w:r w:rsidRPr="009B459F">
        <w:rPr>
          <w:color w:val="000000"/>
          <w:szCs w:val="28"/>
        </w:rPr>
        <w:t xml:space="preserve"> аналогичные обследования волков</w:t>
      </w:r>
      <w:r>
        <w:rPr>
          <w:color w:val="000000"/>
          <w:szCs w:val="28"/>
        </w:rPr>
        <w:t xml:space="preserve"> на Алтае</w:t>
      </w:r>
      <w:r w:rsidRPr="009B459F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</w:t>
      </w:r>
      <w:r w:rsidRPr="009B459F">
        <w:rPr>
          <w:color w:val="000000"/>
          <w:szCs w:val="28"/>
        </w:rPr>
        <w:t xml:space="preserve">робы </w:t>
      </w:r>
      <w:r>
        <w:rPr>
          <w:color w:val="000000"/>
          <w:szCs w:val="28"/>
        </w:rPr>
        <w:t xml:space="preserve">были </w:t>
      </w:r>
      <w:r w:rsidRPr="009B459F">
        <w:rPr>
          <w:color w:val="000000"/>
          <w:szCs w:val="28"/>
        </w:rPr>
        <w:t>собраны от волков в лесах Ельцовского, Чарышского и Угловского районов</w:t>
      </w:r>
      <w:r>
        <w:rPr>
          <w:color w:val="000000"/>
          <w:szCs w:val="28"/>
        </w:rPr>
        <w:t xml:space="preserve"> (в других районах Алтая волк не отмечен)</w:t>
      </w:r>
      <w:r w:rsidRPr="009B459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Через 30 лет зафиксирова</w:t>
      </w:r>
      <w:r w:rsidRPr="009B459F">
        <w:rPr>
          <w:color w:val="000000"/>
          <w:szCs w:val="28"/>
        </w:rPr>
        <w:t>но многократное увеличение загрязнения организма волков пестицидами</w:t>
      </w:r>
      <w:r>
        <w:rPr>
          <w:color w:val="000000"/>
          <w:szCs w:val="28"/>
        </w:rPr>
        <w:t>, несмотря на то, что эти вещества сегодня во всем мире либо полностью запрещены, либо их применение предельно ограничено. ДДТ и его метаболиты обнаружен</w:t>
      </w:r>
      <w:r w:rsidRPr="009B459F">
        <w:rPr>
          <w:color w:val="000000"/>
          <w:szCs w:val="28"/>
        </w:rPr>
        <w:t xml:space="preserve">ы во многих органах и тканях взрослых волков и щенков: печени, почках, легких, а у волчат и в кориуме. Содержание ГХЦГ и его производных также стало обычным во всех органах и тканях волков. </w:t>
      </w:r>
    </w:p>
    <w:p w:rsidR="006F7A30" w:rsidRPr="009B459F" w:rsidRDefault="006F7A30" w:rsidP="006F7A30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При этом у</w:t>
      </w:r>
      <w:r w:rsidRPr="009B459F">
        <w:rPr>
          <w:color w:val="000000"/>
          <w:szCs w:val="28"/>
        </w:rPr>
        <w:t xml:space="preserve"> волчат средние концентрации хлорорганических пестицидов значительно больше, чем у взрослых. У волчат ДДТ в наибольшей степени концентрируется в кориуме – 3,081 мг/кг. С молоком матери происходит интоксикация молодняка животных, и это в дальнейшем способствует нарушению их репродуктивных способностей и увеличению гибели.</w:t>
      </w:r>
    </w:p>
    <w:p w:rsidR="006F7A30" w:rsidRPr="009B459F" w:rsidRDefault="006F7A30" w:rsidP="006F7A30">
      <w:pPr>
        <w:ind w:firstLine="567"/>
        <w:rPr>
          <w:color w:val="000000"/>
          <w:szCs w:val="28"/>
        </w:rPr>
      </w:pPr>
      <w:r w:rsidRPr="009B459F">
        <w:rPr>
          <w:color w:val="000000"/>
          <w:szCs w:val="28"/>
        </w:rPr>
        <w:t xml:space="preserve">Тяжелыми металлами наиболее насыщены волос и печень волчат, а наибольшая концентрация стронция в костной ткани – 5,043 мг/кг. </w:t>
      </w:r>
    </w:p>
    <w:p w:rsidR="006F7A30" w:rsidRPr="009B459F" w:rsidRDefault="006F7A30" w:rsidP="006F7A30">
      <w:pPr>
        <w:pStyle w:val="ac"/>
        <w:ind w:left="0" w:right="0" w:firstLine="567"/>
        <w:rPr>
          <w:i/>
          <w:color w:val="000000"/>
          <w:sz w:val="28"/>
          <w:szCs w:val="28"/>
        </w:rPr>
      </w:pPr>
      <w:r w:rsidRPr="00060D10">
        <w:rPr>
          <w:i/>
          <w:color w:val="000000"/>
          <w:sz w:val="28"/>
          <w:szCs w:val="28"/>
        </w:rPr>
        <w:t>«Установлено, что спустя десятки лет после прекращения применения ДДТ и ГХЦГ происходит их энтропия в фоновые экосистемы, где их прежде не обнаруживали и не использовали. Сегодня мы наблюдаем многократное нарастание концентрации этих ядохимикатов в организмах волков и других животных. Прогнозы на исключение ГХЦГ и ДДТ из цепи питания не оправдались. Он</w:t>
      </w:r>
      <w:r>
        <w:rPr>
          <w:i/>
          <w:color w:val="000000"/>
          <w:sz w:val="28"/>
          <w:szCs w:val="28"/>
        </w:rPr>
        <w:t>и</w:t>
      </w:r>
      <w:r w:rsidRPr="00060D10">
        <w:rPr>
          <w:i/>
          <w:color w:val="000000"/>
          <w:sz w:val="28"/>
          <w:szCs w:val="28"/>
        </w:rPr>
        <w:t xml:space="preserve"> стал</w:t>
      </w:r>
      <w:r>
        <w:rPr>
          <w:i/>
          <w:color w:val="000000"/>
          <w:sz w:val="28"/>
          <w:szCs w:val="28"/>
        </w:rPr>
        <w:t>и</w:t>
      </w:r>
      <w:r w:rsidRPr="00060D10">
        <w:rPr>
          <w:i/>
          <w:color w:val="000000"/>
          <w:sz w:val="28"/>
          <w:szCs w:val="28"/>
        </w:rPr>
        <w:t xml:space="preserve"> встречаться повсюду»</w:t>
      </w:r>
      <w:r>
        <w:rPr>
          <w:color w:val="000000"/>
          <w:sz w:val="28"/>
          <w:szCs w:val="28"/>
        </w:rPr>
        <w:t xml:space="preserve">, - комментирует результаты исследования </w:t>
      </w:r>
      <w:r w:rsidRPr="00060D10">
        <w:rPr>
          <w:b/>
          <w:color w:val="000000"/>
          <w:sz w:val="28"/>
          <w:szCs w:val="28"/>
        </w:rPr>
        <w:t>Александр Бондарев</w:t>
      </w:r>
      <w:r>
        <w:rPr>
          <w:color w:val="000000"/>
          <w:sz w:val="28"/>
          <w:szCs w:val="28"/>
        </w:rPr>
        <w:t xml:space="preserve">. </w:t>
      </w:r>
    </w:p>
    <w:p w:rsidR="006F7A30" w:rsidRPr="009B459F" w:rsidRDefault="006F7A30" w:rsidP="006F7A30">
      <w:pPr>
        <w:pStyle w:val="ac"/>
        <w:ind w:left="0" w:righ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Ответной реакцией стало снижение показателя плодовитости волчиц. Если в 1955-1984 гг.</w:t>
      </w:r>
      <w:r w:rsidRPr="009B4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средняя плодовитость волчиц составляла 7,3</w:t>
      </w:r>
      <w:r w:rsidRPr="009B459F">
        <w:rPr>
          <w:color w:val="000000"/>
          <w:sz w:val="28"/>
          <w:szCs w:val="28"/>
        </w:rPr>
        <w:t xml:space="preserve"> щенка, </w:t>
      </w:r>
      <w:r>
        <w:rPr>
          <w:color w:val="000000"/>
          <w:sz w:val="28"/>
          <w:szCs w:val="28"/>
        </w:rPr>
        <w:t>то в 2000-2009 гг. она</w:t>
      </w:r>
      <w:r w:rsidRPr="009B4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уменьшилась на 23%, до 5,97 щенка</w:t>
      </w:r>
      <w:r w:rsidRPr="009B459F">
        <w:rPr>
          <w:color w:val="000000"/>
          <w:sz w:val="28"/>
          <w:szCs w:val="28"/>
        </w:rPr>
        <w:t>.</w:t>
      </w:r>
    </w:p>
    <w:p w:rsidR="006F7A30" w:rsidRPr="009B459F" w:rsidRDefault="006F7A30" w:rsidP="006F7A30">
      <w:pPr>
        <w:pStyle w:val="ac"/>
        <w:ind w:left="0" w:righ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составе научных коллективов ученым АГАУ аналогичные исследования были проведены в отношении других животных - </w:t>
      </w:r>
      <w:r w:rsidRPr="009B459F">
        <w:rPr>
          <w:color w:val="000000"/>
          <w:sz w:val="28"/>
          <w:szCs w:val="28"/>
        </w:rPr>
        <w:t>лося, зайцев-беляка и русака, норки американской, гуся гуменника</w:t>
      </w:r>
      <w:r w:rsidRPr="004F3013">
        <w:rPr>
          <w:color w:val="000000"/>
          <w:sz w:val="28"/>
          <w:szCs w:val="28"/>
        </w:rPr>
        <w:t xml:space="preserve"> </w:t>
      </w:r>
      <w:r w:rsidRPr="009B459F">
        <w:rPr>
          <w:color w:val="000000"/>
          <w:sz w:val="28"/>
          <w:szCs w:val="28"/>
        </w:rPr>
        <w:t>в четырех регионах России</w:t>
      </w:r>
      <w:r>
        <w:rPr>
          <w:color w:val="000000"/>
          <w:sz w:val="28"/>
          <w:szCs w:val="28"/>
        </w:rPr>
        <w:t>. Например, в</w:t>
      </w:r>
      <w:r w:rsidRPr="009B459F">
        <w:rPr>
          <w:color w:val="000000"/>
          <w:sz w:val="28"/>
          <w:szCs w:val="28"/>
        </w:rPr>
        <w:t xml:space="preserve"> Кировской области исследованы мышцы, почки и печень у 6 видов зверей и 6 видов птиц</w:t>
      </w:r>
      <w:r>
        <w:rPr>
          <w:color w:val="000000"/>
          <w:sz w:val="28"/>
          <w:szCs w:val="28"/>
        </w:rPr>
        <w:t>.</w:t>
      </w:r>
      <w:r w:rsidRPr="004F3013">
        <w:rPr>
          <w:color w:val="000000"/>
          <w:sz w:val="28"/>
          <w:szCs w:val="28"/>
        </w:rPr>
        <w:t xml:space="preserve"> </w:t>
      </w:r>
      <w:r w:rsidRPr="009B459F">
        <w:rPr>
          <w:color w:val="000000"/>
          <w:sz w:val="28"/>
          <w:szCs w:val="28"/>
        </w:rPr>
        <w:t xml:space="preserve">До 45% уток и более 65% гусей, добытых охотниками, имели высокие концентрации токсикантов. </w:t>
      </w:r>
      <w:r>
        <w:rPr>
          <w:color w:val="000000"/>
          <w:sz w:val="28"/>
          <w:szCs w:val="28"/>
        </w:rPr>
        <w:t>М</w:t>
      </w:r>
      <w:r w:rsidRPr="009B459F">
        <w:rPr>
          <w:color w:val="000000"/>
          <w:sz w:val="28"/>
          <w:szCs w:val="28"/>
        </w:rPr>
        <w:t xml:space="preserve">игрирующие водоплавающие </w:t>
      </w:r>
      <w:r>
        <w:rPr>
          <w:color w:val="000000"/>
          <w:sz w:val="28"/>
          <w:szCs w:val="28"/>
        </w:rPr>
        <w:t>загрязнены сильнее, главным образом свинцом и кадмием</w:t>
      </w:r>
      <w:r w:rsidRPr="009B459F">
        <w:rPr>
          <w:color w:val="000000"/>
          <w:sz w:val="28"/>
          <w:szCs w:val="28"/>
        </w:rPr>
        <w:t>. У крякв обнаружены концентрации кадмия, превышающие допустимые в 1,5-8 раз и более. Относительно высокие уровни свинца и кадмия обнаружены в организмах тетеревиных, что указывает на загрязнение этими металлами сельскохозяйственных угодий области. В Кировской области, например, мясо отдельных медведей и тетеревов также опасно для употребления в пищу.</w:t>
      </w:r>
    </w:p>
    <w:p w:rsidR="006F7A30" w:rsidRPr="009B459F" w:rsidRDefault="006F7A30" w:rsidP="006F7A30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На Алтае у</w:t>
      </w:r>
      <w:r w:rsidRPr="009B459F">
        <w:rPr>
          <w:color w:val="000000"/>
          <w:szCs w:val="28"/>
        </w:rPr>
        <w:t xml:space="preserve"> серых гусей концентрация ГХЦГ осенью превышает ранневесеннюю, что свидетельствует о накоплении птицами гексахлорана в процессе кормежек зерном на алтайских полях. </w:t>
      </w:r>
      <w:r>
        <w:rPr>
          <w:color w:val="000000"/>
          <w:szCs w:val="28"/>
        </w:rPr>
        <w:t xml:space="preserve">При этом </w:t>
      </w:r>
      <w:r w:rsidRPr="009B459F">
        <w:rPr>
          <w:color w:val="000000"/>
          <w:szCs w:val="28"/>
        </w:rPr>
        <w:t>ДДТ у большинства гусей не обнаружен</w:t>
      </w:r>
      <w:r>
        <w:rPr>
          <w:color w:val="000000"/>
          <w:szCs w:val="28"/>
        </w:rPr>
        <w:t xml:space="preserve">, что говорит о том, что </w:t>
      </w:r>
      <w:r w:rsidRPr="009B459F">
        <w:rPr>
          <w:color w:val="000000"/>
          <w:szCs w:val="28"/>
        </w:rPr>
        <w:t xml:space="preserve">ДДТ выпал из некоторых аграрных экосистем. У дрозда дерябы и дятла пестрого в мышцах обнаружены следы изомеров ГЦХГ, хотя эти птицы не являются потребителями семян сельхозкультур, что свидетельствует о почти повсеместной загрязненности экосистем гексахлораном. </w:t>
      </w:r>
      <w:r w:rsidRPr="0056477B">
        <w:rPr>
          <w:i/>
          <w:color w:val="000000"/>
          <w:szCs w:val="28"/>
        </w:rPr>
        <w:t>«Заметим, что после запрещения применения ГХЦГ ожидалось исчезновение гексахлорана из экосистем через 25 лет, но этого не произошло»</w:t>
      </w:r>
      <w:r>
        <w:rPr>
          <w:color w:val="000000"/>
          <w:szCs w:val="28"/>
        </w:rPr>
        <w:t>, - констатирует ученый.</w:t>
      </w:r>
    </w:p>
    <w:p w:rsidR="006F7A30" w:rsidRPr="009B459F" w:rsidRDefault="006F7A30" w:rsidP="006F7A30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Причины возникшей ситуации </w:t>
      </w:r>
      <w:r w:rsidRPr="00260A6F">
        <w:rPr>
          <w:b/>
          <w:color w:val="000000"/>
          <w:szCs w:val="28"/>
        </w:rPr>
        <w:t>Александр Бондарев</w:t>
      </w:r>
      <w:r>
        <w:rPr>
          <w:color w:val="000000"/>
          <w:szCs w:val="28"/>
        </w:rPr>
        <w:t xml:space="preserve"> видит в том, что в</w:t>
      </w:r>
      <w:r w:rsidRPr="009B459F">
        <w:rPr>
          <w:color w:val="000000"/>
          <w:szCs w:val="28"/>
        </w:rPr>
        <w:t xml:space="preserve"> после</w:t>
      </w:r>
      <w:r>
        <w:rPr>
          <w:color w:val="000000"/>
          <w:szCs w:val="28"/>
        </w:rPr>
        <w:t xml:space="preserve">дние десятилетия аграрии значительно </w:t>
      </w:r>
      <w:r w:rsidRPr="00AC5E89">
        <w:rPr>
          <w:color w:val="000000"/>
          <w:szCs w:val="28"/>
        </w:rPr>
        <w:t>нарастили применение химпрепаратов. Последствия их воздействия на зооценозы до сих пор</w:t>
      </w:r>
      <w:r>
        <w:rPr>
          <w:color w:val="000000"/>
          <w:szCs w:val="28"/>
        </w:rPr>
        <w:t xml:space="preserve"> комплексно не исследованы</w:t>
      </w:r>
      <w:r w:rsidRPr="009B459F">
        <w:rPr>
          <w:color w:val="000000"/>
          <w:szCs w:val="28"/>
        </w:rPr>
        <w:t>. Очевидно, что яды стали одной из причин уменьшения биоразнообразия, сокращения обилия охотничьих животных в агроценозах, исчезновения не охотничьих птиц и зверей, а также других животных, в первую очередь насекомых.</w:t>
      </w:r>
      <w:r>
        <w:rPr>
          <w:color w:val="000000"/>
          <w:szCs w:val="28"/>
        </w:rPr>
        <w:t xml:space="preserve"> Действия Правительства РФ по усилению контроля за оборотом СЗР и удобрений, возможно, будут способствовать снижению зараженности животных экотоксикантами. </w:t>
      </w:r>
    </w:p>
    <w:p w:rsidR="006F7A30" w:rsidRPr="009B459F" w:rsidRDefault="006F7A30" w:rsidP="006F7A30">
      <w:pPr>
        <w:rPr>
          <w:szCs w:val="28"/>
        </w:rPr>
      </w:pPr>
    </w:p>
    <w:sectPr w:rsidR="006F7A30" w:rsidRPr="009B459F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75" w:rsidRDefault="005A0975" w:rsidP="00637ACE">
      <w:pPr>
        <w:spacing w:line="240" w:lineRule="auto"/>
      </w:pPr>
      <w:r>
        <w:separator/>
      </w:r>
    </w:p>
  </w:endnote>
  <w:endnote w:type="continuationSeparator" w:id="0">
    <w:p w:rsidR="005A0975" w:rsidRDefault="005A0975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62207"/>
      <w:docPartObj>
        <w:docPartGallery w:val="Page Numbers (Bottom of Page)"/>
        <w:docPartUnique/>
      </w:docPartObj>
    </w:sdtPr>
    <w:sdtContent>
      <w:p w:rsidR="00B5427E" w:rsidRDefault="006F5180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5A0975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75" w:rsidRDefault="005A0975" w:rsidP="00637ACE">
      <w:pPr>
        <w:spacing w:line="240" w:lineRule="auto"/>
      </w:pPr>
      <w:r>
        <w:separator/>
      </w:r>
    </w:p>
  </w:footnote>
  <w:footnote w:type="continuationSeparator" w:id="0">
    <w:p w:rsidR="005A0975" w:rsidRDefault="005A0975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6F7A30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6F7A30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2D8"/>
    <w:rsid w:val="000130A0"/>
    <w:rsid w:val="000B4BF0"/>
    <w:rsid w:val="00191C4C"/>
    <w:rsid w:val="001B3D3C"/>
    <w:rsid w:val="001C6F7C"/>
    <w:rsid w:val="002207CA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A0975"/>
    <w:rsid w:val="005E00FD"/>
    <w:rsid w:val="005F6D30"/>
    <w:rsid w:val="0062382A"/>
    <w:rsid w:val="00637ACE"/>
    <w:rsid w:val="00640C10"/>
    <w:rsid w:val="006774B9"/>
    <w:rsid w:val="006F5180"/>
    <w:rsid w:val="006F7A30"/>
    <w:rsid w:val="0075646E"/>
    <w:rsid w:val="007A480D"/>
    <w:rsid w:val="007F26C4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5427E"/>
    <w:rsid w:val="00BB1675"/>
    <w:rsid w:val="00C12005"/>
    <w:rsid w:val="00C2118F"/>
    <w:rsid w:val="00C64671"/>
    <w:rsid w:val="00C92132"/>
    <w:rsid w:val="00CE573C"/>
    <w:rsid w:val="00D545E1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6F7A30"/>
    <w:pPr>
      <w:spacing w:line="240" w:lineRule="auto"/>
      <w:ind w:firstLine="0"/>
      <w:jc w:val="left"/>
    </w:pPr>
    <w:rPr>
      <w:rFonts w:ascii="Calibri" w:eastAsia="Calibri" w:hAnsi="Calibri" w:cs="Times New Roman"/>
      <w:sz w:val="22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6F7A30"/>
    <w:rPr>
      <w:rFonts w:ascii="Calibri" w:eastAsia="Calibri" w:hAnsi="Calibri" w:cs="Times New Roman"/>
      <w:sz w:val="22"/>
      <w:szCs w:val="20"/>
      <w:lang w:eastAsia="ru-RU"/>
    </w:rPr>
  </w:style>
  <w:style w:type="paragraph" w:styleId="ac">
    <w:name w:val="Block Text"/>
    <w:basedOn w:val="a"/>
    <w:uiPriority w:val="99"/>
    <w:unhideWhenUsed/>
    <w:rsid w:val="006F7A30"/>
    <w:pPr>
      <w:ind w:left="567" w:right="936" w:firstLine="0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10</cp:revision>
  <dcterms:created xsi:type="dcterms:W3CDTF">2022-03-01T13:59:00Z</dcterms:created>
  <dcterms:modified xsi:type="dcterms:W3CDTF">2022-03-23T10:02:00Z</dcterms:modified>
</cp:coreProperties>
</file>