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A59589B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0A59589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51" y="2209"/>
                      <wp:lineTo x="2700" y="3365"/>
                      <wp:lineTo x="1357" y="7238"/>
                      <wp:lineTo x="1492" y="15755"/>
                      <wp:lineTo x="3380" y="20034"/>
                      <wp:lineTo x="3917" y="20034"/>
                      <wp:lineTo x="5139" y="20034"/>
                      <wp:lineTo x="6348" y="20034"/>
                      <wp:lineTo x="15257" y="15389"/>
                      <wp:lineTo x="15257" y="14619"/>
                      <wp:lineTo x="18496" y="11496"/>
                      <wp:lineTo x="19575" y="9956"/>
                      <wp:lineTo x="18903" y="8414"/>
                      <wp:lineTo x="19704" y="7238"/>
                      <wp:lineTo x="17552" y="6082"/>
                      <wp:lineTo x="5540" y="2209"/>
                      <wp:lineTo x="3651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/>
      </w:pP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ПРЕСС-РЕЛИЗ</w:t>
      </w:r>
    </w:p>
    <w:p>
      <w:pPr>
        <w:pStyle w:val="Normal"/>
        <w:spacing w:lineRule="auto" w:line="218" w:before="0" w:after="240"/>
        <w:ind w:right="1503" w:hanging="11"/>
        <w:rPr/>
      </w:pP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07.06.2022</w:t>
      </w:r>
    </w:p>
    <w:p>
      <w:pPr>
        <w:pStyle w:val="Normal"/>
        <w:shd w:val="clear" w:color="auto" w:fill="FFFFFF"/>
        <w:rPr/>
      </w:pP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На насосной станции подпитки водоема-накопителя Курской АЭС-2 начали тестировать основное насосное оборудование</w:t>
      </w:r>
      <w:bookmarkStart w:id="0" w:name="_GoBack"/>
      <w:bookmarkEnd w:id="0"/>
    </w:p>
    <w:p>
      <w:pPr>
        <w:pStyle w:val="Normal"/>
        <w:shd w:val="clear" w:color="auto" w:fill="FFFFFF"/>
        <w:spacing w:before="171" w:after="231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На насосной станции подпитки Курской АЭС-2 началось тестирование основных насосных агрегатов – уже опробованы два из четырех. Это подтверждает готовность оборудования к работе.</w:t>
      </w:r>
    </w:p>
    <w:p>
      <w:pPr>
        <w:pStyle w:val="Normal"/>
        <w:shd w:val="clear" w:color="auto" w:fill="FFFFFF"/>
        <w:spacing w:before="171" w:after="231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Станция расположена на берегу реки Сейм и служит для наполнения и подпитки водоема-накопителя Курской АЭС-2.</w:t>
      </w:r>
    </w:p>
    <w:p>
      <w:pPr>
        <w:pStyle w:val="Normal"/>
        <w:shd w:val="clear" w:color="auto" w:fill="FFFFFF"/>
        <w:spacing w:before="171" w:after="231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«Насосная станция подпитки включает в себя здание самой станции и водозаборный ковш, предназначенный для приёма воды из реки Сейм. В подземной части станции расположены насосы, а электродвигатели установлены в надземной части здания. Таким образом, электрическая часть вынесена из зоны возможного подтопления, что позволяет повысить пожарную безопасность и продлить ресурс оборудования. Такое расположение насосов – отличительная особенность проекта Курской АЭС-2», – пояснил первый заместитель директора по сооружению новых блоков Курской АЭС</w:t>
      </w: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 xml:space="preserve"> Андрей Ошарин</w:t>
      </w: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.</w:t>
      </w:r>
    </w:p>
    <w:p>
      <w:pPr>
        <w:pStyle w:val="Normal"/>
        <w:shd w:val="clear" w:color="auto" w:fill="FFFFFF"/>
        <w:spacing w:before="171" w:after="231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В составе насосной станции четыре мощных электронасосных агрегата – по одному на каждый энергоблок (из расчета четырехблочной АЭС-2). Каждый насос способен перекачивать до 12 600 кубометров воды в час. Такой производительности хватит, чтобы за час наполнить пять олимпийских бассейнов. С помощью таких агрегатов из реки Сейм будет подпитываться система технического водоснабжения Курской АЭС-2.</w:t>
      </w:r>
    </w:p>
    <w:p>
      <w:pPr>
        <w:pStyle w:val="Normal"/>
        <w:shd w:val="clear" w:color="auto" w:fill="FFFFFF"/>
        <w:spacing w:before="228" w:after="288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 xml:space="preserve">«Работа станции не повлияет на экосистему реки, так как закачивать воду будут только в паводковый период. К тому же, станция оснащена специальными устройствами, которые предотвращают попадание рыбы в водозабор», – пояснил особенности эксплуатации гидротехнического сооружения главный инженер Курской АЭС-2 </w:t>
      </w: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Алексей Вольнов</w:t>
      </w: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.</w:t>
      </w:r>
    </w:p>
    <w:p>
      <w:pPr>
        <w:pStyle w:val="Normal"/>
        <w:shd w:val="clear" w:color="auto" w:fill="FFFFFF"/>
        <w:spacing w:before="0" w:after="60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 w:val="false"/>
          <w:iCs w:val="false"/>
          <w:color w:val="343433"/>
          <w:kern w:val="0"/>
          <w:sz w:val="24"/>
          <w:szCs w:val="24"/>
          <w:highlight w:val="white"/>
          <w:lang w:val="ru-RU" w:eastAsia="ru-RU" w:bidi="ar-SA"/>
        </w:rPr>
        <w:t>Задача насосной станции подпитки – подавать воду из водозаборного ковша для наполнения водоема-накопителя Курской АЭС-2. Водоем предназначен для восполнения потерь воды, используемой на градирне для охлаждения отработавшего в турбине пара. Кроме того, вода из него является исходной для получения химически обессоленной воды, которая поступает в первый контур реакторного отделения и является основным теплоносителем АЭС.</w:t>
      </w:r>
    </w:p>
    <w:p>
      <w:pPr>
        <w:pStyle w:val="NormalWeb"/>
        <w:widowControl w:val="false"/>
        <w:shd w:val="clear" w:color="auto" w:fill="FFFFFF"/>
        <w:spacing w:lineRule="auto" w:line="259" w:beforeAutospacing="0" w:before="280" w:afterAutospacing="0" w:after="120"/>
        <w:jc w:val="both"/>
        <w:rPr/>
      </w:pPr>
      <w:r>
        <w:rPr>
          <w:rStyle w:val="Appleconvertedspace"/>
          <w:rFonts w:eastAsia="Rosatom" w:cs="Arial" w:ascii="Trebuchet MS" w:hAnsi="Trebuchet MS"/>
          <w:b w:val="false"/>
          <w:bCs w:val="false"/>
          <w:i/>
          <w:iCs/>
          <w:color w:val="343433"/>
          <w:kern w:val="0"/>
          <w:sz w:val="24"/>
          <w:szCs w:val="24"/>
          <w:lang w:val="ru-RU" w:eastAsia="ru-RU" w:bidi="ar-SA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widowControl w:val="false"/>
        <w:shd w:val="clear" w:color="auto" w:fill="FFFFFF"/>
        <w:spacing w:lineRule="auto" w:line="276" w:beforeAutospacing="0" w:before="114" w:afterAutospacing="0" w:after="114"/>
        <w:jc w:val="right"/>
        <w:rPr/>
      </w:pPr>
      <w:r>
        <w:rPr>
          <w:rStyle w:val="Appleconvertedspace"/>
          <w:rFonts w:eastAsia="Rosatom" w:cs="Arial" w:ascii="Trebuchet MS" w:hAnsi="Trebuchet MS"/>
          <w:b/>
          <w:bCs/>
          <w:i w:val="false"/>
          <w:iCs w:val="false"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0870-4DA0-4947-8014-25F3707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LibreOffice/6.4.6.2$Linux_X86_64 LibreOffice_project/40$Build-2</Application>
  <Pages>2</Pages>
  <Words>330</Words>
  <Characters>2363</Characters>
  <CharactersWithSpaces>2682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2022-06-07T15:27:55Z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