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A59589B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0A59589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44" y="2189"/>
                      <wp:lineTo x="2693" y="3345"/>
                      <wp:lineTo x="1350" y="7217"/>
                      <wp:lineTo x="1485" y="15734"/>
                      <wp:lineTo x="3373" y="20013"/>
                      <wp:lineTo x="3909" y="20013"/>
                      <wp:lineTo x="5132" y="20013"/>
                      <wp:lineTo x="6341" y="20013"/>
                      <wp:lineTo x="15250" y="15369"/>
                      <wp:lineTo x="15250" y="14599"/>
                      <wp:lineTo x="18489" y="11476"/>
                      <wp:lineTo x="19568" y="9935"/>
                      <wp:lineTo x="18896" y="8394"/>
                      <wp:lineTo x="19697" y="7217"/>
                      <wp:lineTo x="17545" y="6062"/>
                      <wp:lineTo x="5533" y="2189"/>
                      <wp:lineTo x="3644" y="218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rPr>
          <w:rFonts w:eastAsia="Rosatom"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29.06.2022</w:t>
      </w:r>
    </w:p>
    <w:p>
      <w:pPr>
        <w:pStyle w:val="228bf8a64b8551e1msonormal"/>
        <w:shd w:val="clear" w:color="auto" w:fill="FFFFFF"/>
        <w:rPr>
          <w:rFonts w:eastAsia="Rosatom"/>
          <w:color w:val="343433"/>
          <w:sz w:val="24"/>
          <w:szCs w:val="24"/>
        </w:rPr>
      </w:pPr>
      <w:r>
        <w:rPr>
          <w:rFonts w:eastAsia="Rosatom" w:cs="Arial" w:ascii="Arial" w:hAnsi="Arial"/>
          <w:b/>
          <w:color w:val="343433"/>
          <w:sz w:val="24"/>
          <w:szCs w:val="24"/>
        </w:rPr>
        <w:t>На энергоблоке №2 строящейся Курской АЭС-2 смонтирована первая ступень системы аварийного охлаждения активной зоны</w:t>
      </w:r>
    </w:p>
    <w:p>
      <w:pPr>
        <w:pStyle w:val="Normal"/>
        <w:spacing w:beforeAutospacing="0" w:before="0" w:afterAutospacing="0" w:after="6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На строящейся Курской АЭС-2 на два месяца раньше установленного срока выполнено очередное ключевое событие – в реакторном здании второго энергоблока в проектное положение установлены все четыре гидроемкости системы авар</w:t>
      </w:r>
      <w:bookmarkStart w:id="0" w:name="_GoBack"/>
      <w:bookmarkEnd w:id="0"/>
      <w:r>
        <w:rPr>
          <w:rFonts w:eastAsia="Rosatom"/>
          <w:color w:val="343433"/>
          <w:sz w:val="24"/>
          <w:szCs w:val="24"/>
        </w:rPr>
        <w:t>ийного охлаждения активной зоны (САОЗ). Они образуют первую из трех ступеней системы аварийного охлаждения активной зоны.</w:t>
      </w:r>
    </w:p>
    <w:p>
      <w:pPr>
        <w:pStyle w:val="Normal"/>
        <w:spacing w:before="114" w:after="17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  <w:highlight w:val="white"/>
        </w:rPr>
        <w:t xml:space="preserve">В случае нештатных ситуаций, связанных с потерей теплоносителя, гидроемкости каждой из ступеней последовательно вступают в действие одна за другой, обеспечивая безопасное состояние энергоблока. </w:t>
      </w:r>
      <w:r>
        <w:rPr>
          <w:rFonts w:eastAsia="Rosatom"/>
          <w:color w:val="343433"/>
          <w:sz w:val="24"/>
          <w:szCs w:val="24"/>
        </w:rPr>
        <w:t>Оборудование относится к пассивным системам безопасности АЭС, которое функционирует без привлечения персонала и использования внешних источников энергоснабжения.</w:t>
      </w:r>
    </w:p>
    <w:p>
      <w:pPr>
        <w:pStyle w:val="Normal"/>
        <w:spacing w:before="114" w:after="17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«Каждая емкость системы аварийного охлаждения активной зоны представляет собой толстостенный сосуд высокого давления объёмом 60 000 литров. Во время эксплуатации АЭС в этих емкостях хранится водный раствор борной кислоты (поглотитель нейтронов). При падении давления в первом контуре ниже определённого уровня, жидкость автоматически подается в реактор и охлаждает активную зону. Это предотвращает повреждение ТВЭЛов и расплавление топлива», – пояснил назначение оборудования первый заместитель директора по сооружению новых блоков Курской АЭС </w:t>
      </w:r>
      <w:r>
        <w:rPr>
          <w:rFonts w:eastAsia="Rosatom"/>
          <w:b/>
          <w:color w:val="343433"/>
          <w:sz w:val="24"/>
          <w:szCs w:val="24"/>
        </w:rPr>
        <w:t>Андрей Ошарин</w:t>
      </w:r>
      <w:r>
        <w:rPr>
          <w:rFonts w:eastAsia="Rosatom"/>
          <w:color w:val="343433"/>
          <w:sz w:val="24"/>
          <w:szCs w:val="24"/>
        </w:rPr>
        <w:t>.</w:t>
      </w:r>
    </w:p>
    <w:p>
      <w:pPr>
        <w:pStyle w:val="Normal"/>
        <w:spacing w:before="0" w:after="6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Гидроемкости массой около 75 тонн установлены в здании реактора в вертикальное положение на отметке 14,5 метра. Каждая емкость будет соединена трубопроводом с корпусом реактора. В случае необходимости, подача раствора от двух емкостей будет производиться в пространство над активной зоной, а от двух емкостей – под активную зону реактора. </w:t>
      </w:r>
    </w:p>
    <w:p>
      <w:pPr>
        <w:pStyle w:val="Normal"/>
        <w:spacing w:before="114" w:after="17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«Монтаж гидроемкостей производился тяжеловесным краном методом «open-top» – через открытый верх здания. Установка в проектное положение одной емкости в среднем занимала около 2-3 часов», – отметил особенности монтажа вице-президент – директор проекта по сооружению Курской АЭС </w:t>
      </w:r>
      <w:r>
        <w:rPr>
          <w:rFonts w:eastAsia="Rosatom"/>
          <w:b/>
          <w:color w:val="343433"/>
          <w:sz w:val="24"/>
          <w:szCs w:val="24"/>
        </w:rPr>
        <w:t>Олег Шперле</w:t>
      </w:r>
      <w:r>
        <w:rPr>
          <w:rFonts w:eastAsia="Rosatom"/>
          <w:color w:val="343433"/>
          <w:sz w:val="24"/>
          <w:szCs w:val="24"/>
        </w:rPr>
        <w:t>.</w:t>
      </w:r>
    </w:p>
    <w:p>
      <w:pPr>
        <w:pStyle w:val="Normal"/>
        <w:spacing w:before="114" w:after="234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В ближайшее время в реакторном здании энергоблока №2 будут выполнены работы по монтажу корпусов главных циркуляционных насосов и бетонирование опор парогенераторов.</w:t>
      </w:r>
    </w:p>
    <w:p>
      <w:pPr>
        <w:pStyle w:val="Normal"/>
        <w:shd w:val="clear" w:color="auto" w:fill="FFFFFF"/>
        <w:spacing w:before="0" w:after="24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i/>
          <w:color w:val="343433"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eastAsia="en-US" w:val="ru-RU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62CE-3411-4569-8851-CE2F14F7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LibreOffice/6.4.6.2$Linux_X86_64 LibreOffice_project/40$Build-2</Application>
  <Pages>2</Pages>
  <Words>329</Words>
  <Characters>2376</Characters>
  <CharactersWithSpaces>2696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2022-06-29T15:20:24Z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