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A59589B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0A59589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44" y="2189"/>
                      <wp:lineTo x="2693" y="3345"/>
                      <wp:lineTo x="1350" y="7217"/>
                      <wp:lineTo x="1485" y="15734"/>
                      <wp:lineTo x="3373" y="20013"/>
                      <wp:lineTo x="3909" y="20013"/>
                      <wp:lineTo x="5132" y="20013"/>
                      <wp:lineTo x="6341" y="20013"/>
                      <wp:lineTo x="15250" y="15369"/>
                      <wp:lineTo x="15250" y="14599"/>
                      <wp:lineTo x="18489" y="11476"/>
                      <wp:lineTo x="19568" y="9935"/>
                      <wp:lineTo x="18896" y="8394"/>
                      <wp:lineTo x="19697" y="7217"/>
                      <wp:lineTo x="17545" y="6062"/>
                      <wp:lineTo x="5533" y="2189"/>
                      <wp:lineTo x="3644" y="218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/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04.07.2022</w:t>
      </w:r>
    </w:p>
    <w:p>
      <w:pPr>
        <w:pStyle w:val="Normal"/>
        <w:shd w:val="clear" w:color="auto" w:fill="FFFFFF"/>
        <w:spacing w:before="114" w:after="114"/>
        <w:jc w:val="both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Курская АЭС-2: в реакторном здании энергоблока №2 смонтированы корпуса уникальных гл</w:t>
      </w:r>
      <w:bookmarkStart w:id="0" w:name="_GoBack"/>
      <w:bookmarkEnd w:id="0"/>
      <w:r>
        <w:rPr>
          <w:rFonts w:eastAsia="Rosatom"/>
          <w:b/>
          <w:color w:val="343433"/>
          <w:sz w:val="24"/>
          <w:szCs w:val="24"/>
        </w:rPr>
        <w:t>авных циркуляционных насосов</w:t>
      </w:r>
    </w:p>
    <w:p>
      <w:pPr>
        <w:pStyle w:val="228bf8a64b8551e1msonormal"/>
        <w:spacing w:before="49" w:afterAutospacing="0" w:after="120"/>
        <w:jc w:val="both"/>
        <w:rPr>
          <w:rFonts w:eastAsia="Rosatom"/>
          <w:b w:val="false"/>
          <w:b w:val="false"/>
          <w:bCs w:val="false"/>
          <w:color w:val="343433"/>
          <w:sz w:val="24"/>
          <w:szCs w:val="24"/>
        </w:rPr>
      </w:pPr>
      <w:r>
        <w:rPr>
          <w:rFonts w:eastAsia="Rosatom" w:cs="Arial" w:ascii="Arial" w:hAnsi="Arial"/>
          <w:b w:val="false"/>
          <w:bCs w:val="false"/>
          <w:color w:val="343433"/>
          <w:sz w:val="24"/>
          <w:szCs w:val="24"/>
        </w:rPr>
        <w:t>В реакторном здании второго энергоблока Курской АЭС-2 в проектное положение установлены все четыре сферических корпуса главных циркуляционных насосов (ГЦН). ГЦН относится к основному технологическому оборудованию реакторной установки и обеспечивает циркуляцию теплоносителя, нагретого до температуры 300°C.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eastAsia="Rosatom"/>
          <w:b w:val="false"/>
          <w:b w:val="false"/>
          <w:bCs w:val="false"/>
          <w:color w:val="343433"/>
          <w:sz w:val="24"/>
          <w:szCs w:val="24"/>
        </w:rPr>
      </w:pPr>
      <w:r>
        <w:rPr>
          <w:rFonts w:eastAsia="Rosatom"/>
          <w:b w:val="false"/>
          <w:bCs w:val="false"/>
          <w:color w:val="343433"/>
          <w:sz w:val="24"/>
          <w:szCs w:val="24"/>
        </w:rPr>
        <w:t xml:space="preserve">«Модель главных циркуляционных насосов в проекте ВВЭР-ТОИ уникальна: впервые в истории атомной энергетики Российской Федерации использована водяная смазка подшипников насоса и двигателя, что позволило исключить присутствие масла в герметичной оболочке здания реактора. Такое решение позволило значительно повысить пожаробезопасность», – пояснил главный инженер Курской АЭС-2 Алексей Вольнов.  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eastAsia="Rosatom"/>
          <w:b w:val="false"/>
          <w:b w:val="false"/>
          <w:bCs w:val="false"/>
          <w:color w:val="343433"/>
          <w:sz w:val="24"/>
          <w:szCs w:val="24"/>
        </w:rPr>
      </w:pPr>
      <w:r>
        <w:rPr>
          <w:rFonts w:eastAsia="Rosatom" w:cs="Arial" w:ascii="Arial" w:hAnsi="Arial"/>
          <w:b w:val="false"/>
          <w:bCs w:val="false"/>
          <w:color w:val="343433"/>
          <w:sz w:val="24"/>
          <w:szCs w:val="24"/>
          <w:lang w:eastAsia="ru-RU"/>
        </w:rPr>
        <w:t>Во время эксплуатации АЭС все четыре главных циркуляционных насоса будут находиться в работе под давлением около 16 МПа, что в 160 раз превышает нормальное атмосферное давление. В течение часа агрегат способен перекачивать порядка 22 тысяч кубометров воды. При такой производительности возможно за час наполнить десять олимпийских бассейнов.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eastAsia="Rosatom"/>
          <w:b w:val="false"/>
          <w:b w:val="false"/>
          <w:bCs w:val="false"/>
          <w:color w:val="343433"/>
          <w:sz w:val="24"/>
          <w:szCs w:val="24"/>
        </w:rPr>
      </w:pPr>
      <w:r>
        <w:rPr>
          <w:rFonts w:eastAsia="Rosatom"/>
          <w:b w:val="false"/>
          <w:bCs w:val="false"/>
          <w:color w:val="343433"/>
          <w:sz w:val="24"/>
          <w:szCs w:val="24"/>
        </w:rPr>
        <w:t>«Установка в проектное положение каждого корпуса ГЦН массой 53 тонны выполнялась методом «open-top» – когда оборудование подается в гермозону непосредственно через открытый верх здания реактора. Все четыре агрегата смонтированы на отметке 14,5 метра. Монтаж выполняли специалисты АО «Энергоспецмонтаж», филиала МСУ №5», – отметил особенности монтажа начальник управления капитального строительства Курской АЭС-2 Алексей Булдыгин.</w:t>
      </w:r>
    </w:p>
    <w:p>
      <w:pPr>
        <w:pStyle w:val="Normal"/>
        <w:spacing w:lineRule="auto" w:line="240" w:before="0" w:after="120"/>
        <w:jc w:val="both"/>
        <w:rPr>
          <w:rFonts w:eastAsia="Rosatom"/>
          <w:b w:val="false"/>
          <w:b w:val="false"/>
          <w:bCs w:val="false"/>
          <w:color w:val="343433"/>
          <w:sz w:val="24"/>
          <w:szCs w:val="24"/>
        </w:rPr>
      </w:pPr>
      <w:r>
        <w:rPr>
          <w:rFonts w:eastAsia="Rosatom"/>
          <w:b w:val="false"/>
          <w:bCs w:val="false"/>
          <w:color w:val="343433"/>
          <w:sz w:val="24"/>
          <w:szCs w:val="24"/>
        </w:rPr>
        <w:t xml:space="preserve">Все корпуса ГЦН выдержали проверку на прочность. В процессе гидроиспытаний, которые проводились на заводе-изготовителе, корпус каждого главного циркуляционного насосного агрегата заполняли специально очищенной водой, нагревали до температуры гидроиспытаний и под давлением 24,5 МПа, что выше рабочего в полтора раза, выдерживали в течение 10 минут. 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/>
          <w:b w:val="false"/>
          <w:bCs w:val="false"/>
          <w:i/>
          <w:color w:val="343433"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60C4-173C-4790-81B5-D891665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LibreOffice/6.4.6.2$Linux_X86_64 LibreOffice_project/40$Build-2</Application>
  <Pages>1</Pages>
  <Words>294</Words>
  <Characters>2182</Characters>
  <CharactersWithSpaces>2467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2022-07-04T15:57:38Z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