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D72384" w14:paraId="62185D12" w14:textId="77777777">
        <w:tc>
          <w:tcPr>
            <w:tcW w:w="5571" w:type="dxa"/>
            <w:shd w:val="clear" w:color="auto" w:fill="auto"/>
          </w:tcPr>
          <w:p w14:paraId="560E6037" w14:textId="77777777" w:rsidR="00D72384" w:rsidRDefault="00ED5BD3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4DEA9AF3" wp14:editId="3C472F73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2858" y="2006"/>
                      <wp:lineTo x="1843" y="3162"/>
                      <wp:lineTo x="463" y="6812"/>
                      <wp:lineTo x="612" y="15086"/>
                      <wp:lineTo x="2579" y="19161"/>
                      <wp:lineTo x="3137" y="19161"/>
                      <wp:lineTo x="4403" y="19161"/>
                      <wp:lineTo x="5647" y="19161"/>
                      <wp:lineTo x="14949" y="14741"/>
                      <wp:lineTo x="14949" y="13970"/>
                      <wp:lineTo x="18346" y="10848"/>
                      <wp:lineTo x="19425" y="9529"/>
                      <wp:lineTo x="18753" y="7989"/>
                      <wp:lineTo x="19554" y="6812"/>
                      <wp:lineTo x="17323" y="5656"/>
                      <wp:lineTo x="4839" y="2006"/>
                      <wp:lineTo x="2858" y="2006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1F41A15" wp14:editId="5C996028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3025" cy="1463040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120" cy="14630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30AD825" w14:textId="77777777" w:rsidR="00D72384" w:rsidRDefault="00ED5B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5212AF59" w14:textId="77777777" w:rsidR="00D72384" w:rsidRDefault="00ED5B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31DDD41C" w14:textId="77777777" w:rsidR="00D72384" w:rsidRDefault="00D7238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1EFA6F" w14:textId="77777777" w:rsidR="00D72384" w:rsidRDefault="00ED5B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0D7A3A03" w14:textId="77777777" w:rsidR="00D72384" w:rsidRDefault="00ED5B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251035B8" w14:textId="77777777" w:rsidR="00D72384" w:rsidRDefault="000453B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ED5BD3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79E9A942" w14:textId="77777777" w:rsidR="00D72384" w:rsidRDefault="00ED5BD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140F4BE1" w14:textId="77777777" w:rsidR="00D72384" w:rsidRDefault="00D7238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7pt;height:115.15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14:paraId="008DFC65" w14:textId="77777777" w:rsidR="00D72384" w:rsidRDefault="00D72384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BB76616" w14:textId="77777777" w:rsidR="00D72384" w:rsidRDefault="00D72384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25D44A89" w14:textId="77777777" w:rsidR="00D72384" w:rsidRDefault="00ED5BD3">
      <w:pPr>
        <w:spacing w:before="80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14:paraId="5C3C3CDD" w14:textId="77777777" w:rsidR="00D72384" w:rsidRDefault="00ED5BD3">
      <w:pPr>
        <w:spacing w:before="114" w:after="194" w:line="218" w:lineRule="auto"/>
        <w:ind w:right="1503" w:hanging="11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08.07.2022</w:t>
      </w:r>
    </w:p>
    <w:p w14:paraId="0DF7D4FD" w14:textId="77777777" w:rsidR="00D72384" w:rsidRDefault="00ED5BD3">
      <w:pPr>
        <w:spacing w:before="114" w:after="194" w:line="218" w:lineRule="auto"/>
        <w:jc w:val="both"/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Курская АЭС: лучшие практики строительства АЭС готовы к тиражированию </w:t>
      </w:r>
    </w:p>
    <w:p w14:paraId="77B29432" w14:textId="77777777" w:rsidR="00D72384" w:rsidRDefault="00ED5BD3" w:rsidP="00ED5BD3">
      <w:pPr>
        <w:spacing w:before="80" w:after="120"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>Курская АЭС поделилась опытом строительства станции замещения с применением инструментов производственной системы Росатома (ПСР).</w:t>
      </w:r>
    </w:p>
    <w:p w14:paraId="18EC3B67" w14:textId="2C849800" w:rsidR="00D72384" w:rsidRDefault="00ED5BD3" w:rsidP="00ED5BD3">
      <w:pPr>
        <w:spacing w:before="80" w:after="120"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>Использование бережливых технологий и системы непрерывного совершенствования лежит в основе сооружения Курской АЭС-2. Один из образцов эффективных решений — строительство башенной испарительной градирни первого энергоблока. Благодаря применению принципов бережливого производства специалисты сократили сроки устройства одного яруса с 15 до 3</w:t>
      </w:r>
      <w:r w:rsidR="00426369">
        <w:rPr>
          <w:rFonts w:ascii="Trebuchet MS" w:eastAsia="Rosatom" w:hAnsi="Trebuchet MS"/>
          <w:color w:val="343433"/>
          <w:sz w:val="24"/>
          <w:szCs w:val="24"/>
        </w:rPr>
        <w:t> </w:t>
      </w:r>
      <w:r>
        <w:rPr>
          <w:rFonts w:ascii="Trebuchet MS" w:eastAsia="Rosatom" w:hAnsi="Trebuchet MS"/>
          <w:color w:val="343433"/>
          <w:sz w:val="24"/>
          <w:szCs w:val="24"/>
        </w:rPr>
        <w:t>дней.</w:t>
      </w:r>
    </w:p>
    <w:p w14:paraId="39AF8E00" w14:textId="77777777" w:rsidR="00D72384" w:rsidRDefault="00ED5BD3" w:rsidP="00ED5BD3">
      <w:pPr>
        <w:spacing w:before="80" w:after="120"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Эти и другие успехи строительной площадки Курской АЭС-2 изучили участники первой установочной встречи Цехового клуба заказчиков строительных объектов. Эта новая структура появилась по инициативе Генерального директора АО «Концерн Росэнергоатом» 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Андрея Петрова</w:t>
      </w:r>
      <w:r>
        <w:rPr>
          <w:rFonts w:ascii="Trebuchet MS" w:eastAsia="Rosatom" w:hAnsi="Trebuchet MS"/>
          <w:color w:val="343433"/>
          <w:sz w:val="24"/>
          <w:szCs w:val="24"/>
        </w:rPr>
        <w:t>. Ее главная цель — создать платформу для обмена опытом, тиражирования лучших образцов эффективных решений, чтобы максимально оптимизировать процессы строительства объектов атомной промышленности и исключить потери.</w:t>
      </w:r>
    </w:p>
    <w:p w14:paraId="1EE75697" w14:textId="6183A745" w:rsidR="00D72384" w:rsidRDefault="00ED5BD3" w:rsidP="00ED5BD3">
      <w:pPr>
        <w:spacing w:before="80" w:after="120"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«Росатом ведет строительство на многих площадках, в том числе и зарубежных. Трудности при строительстве, как правило, у всех схожи. Цеховой клуб заказчиков призван решать возникающие вопросы системно, применяя лучшие практики строительства в контуре Росатома», — приветствуя участников клуба, отметил 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Генеральный директор АО «Концерн Росэнергоатом» Андрей Петров</w:t>
      </w:r>
      <w:r>
        <w:rPr>
          <w:rFonts w:ascii="Trebuchet MS" w:eastAsia="Rosatom" w:hAnsi="Trebuchet MS"/>
          <w:color w:val="343433"/>
          <w:sz w:val="24"/>
          <w:szCs w:val="24"/>
        </w:rPr>
        <w:t>.</w:t>
      </w:r>
    </w:p>
    <w:p w14:paraId="2BF1A85D" w14:textId="12B4DDA2" w:rsidR="00D72384" w:rsidRDefault="00ED5BD3" w:rsidP="00ED5BD3">
      <w:pPr>
        <w:spacing w:before="80" w:after="120"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>«Строительная площадка Курской АЭС-2 — плацдарм эффективных решений.  Готовы делиться опытом. Причем в эту работу вовлечены не только мы, но и</w:t>
      </w:r>
      <w:r w:rsidR="00426369">
        <w:rPr>
          <w:rFonts w:ascii="Trebuchet MS" w:eastAsia="Rosatom" w:hAnsi="Trebuchet MS"/>
          <w:color w:val="343433"/>
          <w:sz w:val="24"/>
          <w:szCs w:val="24"/>
        </w:rPr>
        <w:t> 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подрядчики, — отметил 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директор Курской АЭС Алекcандр Увакин</w:t>
      </w:r>
      <w:r>
        <w:rPr>
          <w:rFonts w:ascii="Trebuchet MS" w:eastAsia="Rosatom" w:hAnsi="Trebuchet MS"/>
          <w:color w:val="343433"/>
          <w:sz w:val="24"/>
          <w:szCs w:val="24"/>
        </w:rPr>
        <w:t>. — Наш генеральный застройщик — Инжиниринговая компания «Атомстройэкспорт» — организовал учебный ПСР-центр, где на основании лицензии на оказание образовательной деятельности ведет обучение специалистов-подрядчиков. И</w:t>
      </w:r>
      <w:r w:rsidR="00426369">
        <w:rPr>
          <w:rFonts w:ascii="Trebuchet MS" w:eastAsia="Rosatom" w:hAnsi="Trebuchet MS"/>
          <w:color w:val="343433"/>
          <w:sz w:val="24"/>
          <w:szCs w:val="24"/>
        </w:rPr>
        <w:t> </w:t>
      </w:r>
      <w:r>
        <w:rPr>
          <w:rFonts w:ascii="Trebuchet MS" w:eastAsia="Rosatom" w:hAnsi="Trebuchet MS"/>
          <w:color w:val="343433"/>
          <w:sz w:val="24"/>
          <w:szCs w:val="24"/>
        </w:rPr>
        <w:t>они быстро подхватывают принципы бережливого производства, применяя инструменты ПСР на рабочих местах».</w:t>
      </w:r>
    </w:p>
    <w:p w14:paraId="70D4B287" w14:textId="77777777" w:rsidR="00D72384" w:rsidRDefault="00ED5BD3" w:rsidP="00ED5BD3">
      <w:pPr>
        <w:spacing w:before="80" w:after="120"/>
        <w:jc w:val="both"/>
      </w:pPr>
      <w:r>
        <w:rPr>
          <w:rFonts w:ascii="Trebuchet MS" w:eastAsia="Rosatom" w:hAnsi="Trebuchet MS"/>
          <w:color w:val="343433"/>
          <w:sz w:val="24"/>
          <w:szCs w:val="24"/>
          <w:highlight w:val="white"/>
        </w:rPr>
        <w:t>Итогом первой встречи стало определение регламента работы клуба и создание внутрикорпоративного канала для ежедневного общения. Также всем участникам рекомендовано изучить предложения по улучшениям Курской АЭС-2 и при их актуальности внедрить на своих площадках.</w:t>
      </w:r>
    </w:p>
    <w:p w14:paraId="2AD1CE78" w14:textId="77777777" w:rsidR="00D72384" w:rsidRDefault="00ED5BD3">
      <w:pPr>
        <w:spacing w:before="114" w:after="114"/>
        <w:jc w:val="right"/>
      </w:pPr>
      <w:r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lastRenderedPageBreak/>
        <w:t>Управление информации и общественных связей Курской АЭС</w:t>
      </w:r>
    </w:p>
    <w:sectPr w:rsidR="00D72384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HiddenHorzOCl">
    <w:altName w:val="Cambria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84"/>
    <w:rsid w:val="000453B4"/>
    <w:rsid w:val="00426369"/>
    <w:rsid w:val="00D72384"/>
    <w:rsid w:val="00E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28BE"/>
  <w15:docId w15:val="{CD8BC484-CE55-4385-B77F-1A7118D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0F55FB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54F3-FDEF-4B0A-BA03-DD6A481D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337</Words>
  <Characters>1924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62</cp:revision>
  <cp:lastPrinted>2022-06-06T15:48:00Z</cp:lastPrinted>
  <dcterms:created xsi:type="dcterms:W3CDTF">2021-04-12T07:35:00Z</dcterms:created>
  <dcterms:modified xsi:type="dcterms:W3CDTF">2022-07-08T07:44:00Z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