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1C30" w14:textId="77777777" w:rsidR="00876859" w:rsidRPr="00876859" w:rsidRDefault="00876859" w:rsidP="00876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859">
        <w:rPr>
          <w:rFonts w:ascii="Times New Roman" w:hAnsi="Times New Roman" w:cs="Times New Roman"/>
          <w:b/>
          <w:bCs/>
          <w:sz w:val="24"/>
          <w:szCs w:val="24"/>
        </w:rPr>
        <w:t>Российский рынок одноразовой биоразлагаемой посуды: итоги 2021 г., прогноз до 2025 г.</w:t>
      </w:r>
    </w:p>
    <w:p w14:paraId="4586546C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</w:p>
    <w:p w14:paraId="4D619E28" w14:textId="77777777" w:rsidR="00876859" w:rsidRPr="00876859" w:rsidRDefault="00876859" w:rsidP="0087685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76859">
        <w:rPr>
          <w:rFonts w:ascii="Times New Roman" w:hAnsi="Times New Roman" w:cs="Times New Roman"/>
          <w:i/>
          <w:iCs/>
          <w:sz w:val="24"/>
          <w:szCs w:val="24"/>
        </w:rPr>
        <w:t>В июне-июле 2022 года исследовательская компания NeoAnalytics завершила проведение маркетингового исследования российского рынка одноразовой биоразлагаемой посуды.</w:t>
      </w:r>
    </w:p>
    <w:p w14:paraId="34FD4617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</w:p>
    <w:p w14:paraId="7376A6DC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 xml:space="preserve">Настоящее исследование посвящено анализу российского рынка биоразлагаемой одноразовой посуды в ретроспективе. Основной целью исследования является предоставление объективной оценки конъюнктуры и перспектив дальнейшего развития данного рынка. </w:t>
      </w:r>
    </w:p>
    <w:p w14:paraId="29EC4334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</w:p>
    <w:p w14:paraId="67DAF057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В отчете представлены проанализированные итоги развития рынка в 2021г., а также построены прогнозы до 2025 г.</w:t>
      </w:r>
    </w:p>
    <w:p w14:paraId="55431A43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</w:p>
    <w:p w14:paraId="0A536252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Детальным образом проанализированы такие данные, как:</w:t>
      </w:r>
    </w:p>
    <w:p w14:paraId="3BEF9F6F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</w:p>
    <w:p w14:paraId="72C42F47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•</w:t>
      </w:r>
      <w:r w:rsidRPr="00876859">
        <w:rPr>
          <w:rFonts w:ascii="Times New Roman" w:hAnsi="Times New Roman" w:cs="Times New Roman"/>
          <w:sz w:val="24"/>
          <w:szCs w:val="24"/>
        </w:rPr>
        <w:tab/>
        <w:t>конъюнктура российского рынка (общие данные с учетом макроэкономических показателей);</w:t>
      </w:r>
    </w:p>
    <w:p w14:paraId="6B569B58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•</w:t>
      </w:r>
      <w:r w:rsidRPr="00876859">
        <w:rPr>
          <w:rFonts w:ascii="Times New Roman" w:hAnsi="Times New Roman" w:cs="Times New Roman"/>
          <w:sz w:val="24"/>
          <w:szCs w:val="24"/>
        </w:rPr>
        <w:tab/>
        <w:t>объем российского рынка в ретроспективе;</w:t>
      </w:r>
    </w:p>
    <w:p w14:paraId="7492762D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•</w:t>
      </w:r>
      <w:r w:rsidRPr="00876859">
        <w:rPr>
          <w:rFonts w:ascii="Times New Roman" w:hAnsi="Times New Roman" w:cs="Times New Roman"/>
          <w:sz w:val="24"/>
          <w:szCs w:val="24"/>
        </w:rPr>
        <w:tab/>
        <w:t xml:space="preserve">структура рынка </w:t>
      </w:r>
      <w:r w:rsidRPr="00876859">
        <w:rPr>
          <w:rFonts w:ascii="Times New Roman" w:hAnsi="Times New Roman" w:cs="Times New Roman"/>
          <w:sz w:val="24"/>
          <w:szCs w:val="24"/>
        </w:rPr>
        <w:tab/>
      </w:r>
    </w:p>
    <w:p w14:paraId="31CC9C40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•</w:t>
      </w:r>
      <w:r w:rsidRPr="00876859">
        <w:rPr>
          <w:rFonts w:ascii="Times New Roman" w:hAnsi="Times New Roman" w:cs="Times New Roman"/>
          <w:sz w:val="24"/>
          <w:szCs w:val="24"/>
        </w:rPr>
        <w:tab/>
        <w:t>показатели российского рынка (внутреннее производство</w:t>
      </w:r>
      <w:r w:rsidRPr="00876859">
        <w:rPr>
          <w:rFonts w:ascii="Times New Roman" w:hAnsi="Times New Roman" w:cs="Times New Roman"/>
          <w:sz w:val="24"/>
          <w:szCs w:val="24"/>
        </w:rPr>
        <w:tab/>
        <w:t xml:space="preserve">, экспортно-импортные поставки); </w:t>
      </w:r>
    </w:p>
    <w:p w14:paraId="11931F7D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•</w:t>
      </w:r>
      <w:r w:rsidRPr="00876859">
        <w:rPr>
          <w:rFonts w:ascii="Times New Roman" w:hAnsi="Times New Roman" w:cs="Times New Roman"/>
          <w:sz w:val="24"/>
          <w:szCs w:val="24"/>
        </w:rPr>
        <w:tab/>
        <w:t>ценовая конъюнктура;</w:t>
      </w:r>
      <w:r w:rsidRPr="00876859">
        <w:rPr>
          <w:rFonts w:ascii="Times New Roman" w:hAnsi="Times New Roman" w:cs="Times New Roman"/>
          <w:sz w:val="24"/>
          <w:szCs w:val="24"/>
        </w:rPr>
        <w:tab/>
      </w:r>
    </w:p>
    <w:p w14:paraId="542BC8E3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•</w:t>
      </w:r>
      <w:r w:rsidRPr="00876859">
        <w:rPr>
          <w:rFonts w:ascii="Times New Roman" w:hAnsi="Times New Roman" w:cs="Times New Roman"/>
          <w:sz w:val="24"/>
          <w:szCs w:val="24"/>
        </w:rPr>
        <w:tab/>
        <w:t>анализ потребительского спроса;</w:t>
      </w:r>
    </w:p>
    <w:p w14:paraId="2EC69B6F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•</w:t>
      </w:r>
      <w:r w:rsidRPr="00876859">
        <w:rPr>
          <w:rFonts w:ascii="Times New Roman" w:hAnsi="Times New Roman" w:cs="Times New Roman"/>
          <w:sz w:val="24"/>
          <w:szCs w:val="24"/>
        </w:rPr>
        <w:tab/>
        <w:t>анализ участников рынка;</w:t>
      </w:r>
    </w:p>
    <w:p w14:paraId="1445CB8A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•</w:t>
      </w:r>
      <w:r w:rsidRPr="00876859">
        <w:rPr>
          <w:rFonts w:ascii="Times New Roman" w:hAnsi="Times New Roman" w:cs="Times New Roman"/>
          <w:sz w:val="24"/>
          <w:szCs w:val="24"/>
        </w:rPr>
        <w:tab/>
        <w:t xml:space="preserve">характеристика производителей (показатели деятельности, финансовые индикаторы). </w:t>
      </w:r>
      <w:r w:rsidRPr="00876859">
        <w:rPr>
          <w:rFonts w:ascii="Times New Roman" w:hAnsi="Times New Roman" w:cs="Times New Roman"/>
          <w:sz w:val="24"/>
          <w:szCs w:val="24"/>
        </w:rPr>
        <w:tab/>
      </w:r>
    </w:p>
    <w:p w14:paraId="549E3B48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</w:p>
    <w:p w14:paraId="5555244D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Данное исследование предназначено для ряда специалистов, в частности:</w:t>
      </w:r>
    </w:p>
    <w:p w14:paraId="3E5E946F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</w:p>
    <w:p w14:paraId="4D7146D5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•</w:t>
      </w:r>
      <w:r w:rsidRPr="00876859">
        <w:rPr>
          <w:rFonts w:ascii="Times New Roman" w:hAnsi="Times New Roman" w:cs="Times New Roman"/>
          <w:sz w:val="24"/>
          <w:szCs w:val="24"/>
        </w:rPr>
        <w:tab/>
        <w:t>маркетологи-аналитики, менеджеры по маркетингу, менеджеры по маркетинговым исследованиям работающие в сфере производства биоразлагаемой одноразовой посуды;</w:t>
      </w:r>
    </w:p>
    <w:p w14:paraId="0DB7316C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•</w:t>
      </w:r>
      <w:r w:rsidRPr="00876859">
        <w:rPr>
          <w:rFonts w:ascii="Times New Roman" w:hAnsi="Times New Roman" w:cs="Times New Roman"/>
          <w:sz w:val="24"/>
          <w:szCs w:val="24"/>
        </w:rPr>
        <w:tab/>
        <w:t>директора по маркетингу, директора по продажам компаний, работающих в сфере производства биоразлагаемой одноразовой посуды;</w:t>
      </w:r>
    </w:p>
    <w:p w14:paraId="47EFC01F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•</w:t>
      </w:r>
      <w:r w:rsidRPr="00876859">
        <w:rPr>
          <w:rFonts w:ascii="Times New Roman" w:hAnsi="Times New Roman" w:cs="Times New Roman"/>
          <w:sz w:val="24"/>
          <w:szCs w:val="24"/>
        </w:rPr>
        <w:tab/>
        <w:t>коммерческие директора компаний, работающие в сфере производства биоразлагаемой одноразовой посуды;</w:t>
      </w:r>
    </w:p>
    <w:p w14:paraId="53AA2E77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76859">
        <w:rPr>
          <w:rFonts w:ascii="Times New Roman" w:hAnsi="Times New Roman" w:cs="Times New Roman"/>
          <w:sz w:val="24"/>
          <w:szCs w:val="24"/>
        </w:rPr>
        <w:tab/>
        <w:t>частные инвесторы, планирующие приобрести акции предприятий, осуществляющих свою деятельность в сфере производства биоразлагаемой одноразовой посуды.</w:t>
      </w:r>
    </w:p>
    <w:p w14:paraId="42C576D4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</w:p>
    <w:p w14:paraId="2C6C7690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Данный отчет является продуктом интеллектуальной собственностью исследовательской компании NeoAnalytics.</w:t>
      </w:r>
    </w:p>
    <w:p w14:paraId="580D3A18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</w:p>
    <w:p w14:paraId="0E7A8503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Более подробно с результатами исследования можно ознакомиться на официальном сайте www.neoanalytics.ru</w:t>
      </w:r>
    </w:p>
    <w:p w14:paraId="0D4D72D9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</w:p>
    <w:p w14:paraId="6F3BAF7E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Исследование проведено в июне-июле 2022 года.</w:t>
      </w:r>
    </w:p>
    <w:p w14:paraId="5FC86B9C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Объем отчета – 83 стр.</w:t>
      </w:r>
    </w:p>
    <w:p w14:paraId="26D51CCF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Отчет содержит 19 таблиц и 60 графиков.</w:t>
      </w:r>
    </w:p>
    <w:p w14:paraId="58BF0292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Язык отчета – русский.</w:t>
      </w:r>
    </w:p>
    <w:p w14:paraId="32D27EEB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</w:p>
    <w:p w14:paraId="505BDC14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Рубрики и три ключевых слова, для данного отчета:</w:t>
      </w:r>
    </w:p>
    <w:p w14:paraId="6F16DBE1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</w:p>
    <w:p w14:paraId="5AFE472A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 xml:space="preserve">Ключевые слова </w:t>
      </w:r>
    </w:p>
    <w:p w14:paraId="67FCFCFB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</w:p>
    <w:p w14:paraId="6F822A82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Российский рынок одноразовой биоразлагаемой посуды, аналитический отчет, NeoAnalytics</w:t>
      </w:r>
    </w:p>
    <w:p w14:paraId="6FA5AAB2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ab/>
      </w:r>
    </w:p>
    <w:p w14:paraId="4192570A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Рубрики:</w:t>
      </w:r>
    </w:p>
    <w:p w14:paraId="2621F586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•</w:t>
      </w:r>
      <w:r w:rsidRPr="00876859">
        <w:rPr>
          <w:rFonts w:ascii="Times New Roman" w:hAnsi="Times New Roman" w:cs="Times New Roman"/>
          <w:sz w:val="24"/>
          <w:szCs w:val="24"/>
        </w:rPr>
        <w:tab/>
        <w:t xml:space="preserve">Исследования по регионам </w:t>
      </w:r>
    </w:p>
    <w:p w14:paraId="7FD4D5D1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•</w:t>
      </w:r>
      <w:r w:rsidRPr="00876859">
        <w:rPr>
          <w:rFonts w:ascii="Times New Roman" w:hAnsi="Times New Roman" w:cs="Times New Roman"/>
          <w:sz w:val="24"/>
          <w:szCs w:val="24"/>
        </w:rPr>
        <w:tab/>
        <w:t>Мониторинги рынков</w:t>
      </w:r>
    </w:p>
    <w:p w14:paraId="231B9F59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•</w:t>
      </w:r>
      <w:r w:rsidRPr="00876859">
        <w:rPr>
          <w:rFonts w:ascii="Times New Roman" w:hAnsi="Times New Roman" w:cs="Times New Roman"/>
          <w:sz w:val="24"/>
          <w:szCs w:val="24"/>
        </w:rPr>
        <w:tab/>
        <w:t>FMCG</w:t>
      </w:r>
    </w:p>
    <w:p w14:paraId="75BCECE0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•</w:t>
      </w:r>
      <w:r w:rsidRPr="00876859">
        <w:rPr>
          <w:rFonts w:ascii="Times New Roman" w:hAnsi="Times New Roman" w:cs="Times New Roman"/>
          <w:sz w:val="24"/>
          <w:szCs w:val="24"/>
        </w:rPr>
        <w:tab/>
        <w:t xml:space="preserve">Промышленность </w:t>
      </w:r>
    </w:p>
    <w:p w14:paraId="6BD83B84" w14:textId="77777777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>•</w:t>
      </w:r>
      <w:r w:rsidRPr="00876859">
        <w:rPr>
          <w:rFonts w:ascii="Times New Roman" w:hAnsi="Times New Roman" w:cs="Times New Roman"/>
          <w:sz w:val="24"/>
          <w:szCs w:val="24"/>
        </w:rPr>
        <w:tab/>
        <w:t>Тара, упаковка</w:t>
      </w:r>
    </w:p>
    <w:p w14:paraId="1FA0FBC6" w14:textId="617037C1" w:rsidR="00876859" w:rsidRPr="00876859" w:rsidRDefault="00876859" w:rsidP="00876859">
      <w:pPr>
        <w:rPr>
          <w:rFonts w:ascii="Times New Roman" w:hAnsi="Times New Roman" w:cs="Times New Roman"/>
          <w:sz w:val="24"/>
          <w:szCs w:val="24"/>
        </w:rPr>
      </w:pPr>
      <w:r w:rsidRPr="00876859">
        <w:rPr>
          <w:rFonts w:ascii="Times New Roman" w:hAnsi="Times New Roman" w:cs="Times New Roman"/>
          <w:sz w:val="24"/>
          <w:szCs w:val="24"/>
        </w:rPr>
        <w:t xml:space="preserve">Одноразовая </w:t>
      </w:r>
      <w:proofErr w:type="spellStart"/>
      <w:r w:rsidRPr="00876859">
        <w:rPr>
          <w:rFonts w:ascii="Times New Roman" w:hAnsi="Times New Roman" w:cs="Times New Roman"/>
          <w:sz w:val="24"/>
          <w:szCs w:val="24"/>
        </w:rPr>
        <w:t>биоразлагаемая</w:t>
      </w:r>
      <w:proofErr w:type="spellEnd"/>
      <w:r w:rsidRPr="00876859">
        <w:rPr>
          <w:rFonts w:ascii="Times New Roman" w:hAnsi="Times New Roman" w:cs="Times New Roman"/>
          <w:sz w:val="24"/>
          <w:szCs w:val="24"/>
        </w:rPr>
        <w:t xml:space="preserve"> посуда</w:t>
      </w:r>
    </w:p>
    <w:sectPr w:rsidR="00876859" w:rsidRPr="0087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59"/>
    <w:rsid w:val="008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A778"/>
  <w15:chartTrackingRefBased/>
  <w15:docId w15:val="{EFB82F64-8E3B-4892-B9EF-E83E187A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2022-07-20T07:54:00Z</dcterms:created>
  <dcterms:modified xsi:type="dcterms:W3CDTF">2022-07-20T07:55:00Z</dcterms:modified>
</cp:coreProperties>
</file>