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1C30" w14:textId="77777777" w:rsidR="00876859" w:rsidRPr="00876859" w:rsidRDefault="00876859" w:rsidP="008768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859">
        <w:rPr>
          <w:rFonts w:ascii="Times New Roman" w:hAnsi="Times New Roman" w:cs="Times New Roman"/>
          <w:b/>
          <w:bCs/>
          <w:sz w:val="24"/>
          <w:szCs w:val="24"/>
        </w:rPr>
        <w:t>Российский рынок одноразовой биоразлагаемой посуды: итоги 2021 г., прогноз до 2025 г.</w:t>
      </w:r>
    </w:p>
    <w:p w14:paraId="4586546C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4D619E28" w14:textId="77777777" w:rsidR="00876859" w:rsidRPr="00876859" w:rsidRDefault="00876859" w:rsidP="0087685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76859">
        <w:rPr>
          <w:rFonts w:ascii="Times New Roman" w:hAnsi="Times New Roman" w:cs="Times New Roman"/>
          <w:i/>
          <w:iCs/>
          <w:sz w:val="24"/>
          <w:szCs w:val="24"/>
        </w:rPr>
        <w:t>В июне-июле 2022 года исследовательская компания NeoAnalytics завершила проведение маркетингового исследования российского рынка одноразовой биоразлагаемой посуды.</w:t>
      </w:r>
    </w:p>
    <w:p w14:paraId="34FD4617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7376A6DC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 xml:space="preserve">Настоящее исследование посвящено анализу российского рынка биоразлагаемой одноразовой посуды в ретроспективе. Основной целью исследования является предоставление объективной оценки конъюнктуры и перспектив дальнейшего развития данного рынка. </w:t>
      </w:r>
    </w:p>
    <w:p w14:paraId="29EC4334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67DAF057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В отчете представлены проанализированные итоги развития рынка в 2021г., а также построены прогнозы до 2025 г.</w:t>
      </w:r>
    </w:p>
    <w:p w14:paraId="55431A43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0A536252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Детальным образом проанализированы такие данные, как:</w:t>
      </w:r>
    </w:p>
    <w:p w14:paraId="3BEF9F6F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72C42F47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конъюнктура российского рынка (общие данные с учетом макроэкономических показателей);</w:t>
      </w:r>
    </w:p>
    <w:p w14:paraId="6B569B58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объем российского рынка в ретроспективе;</w:t>
      </w:r>
    </w:p>
    <w:p w14:paraId="7492762D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 xml:space="preserve">структура рынка </w:t>
      </w:r>
      <w:r w:rsidRPr="00876859">
        <w:rPr>
          <w:rFonts w:ascii="Times New Roman" w:hAnsi="Times New Roman" w:cs="Times New Roman"/>
          <w:sz w:val="24"/>
          <w:szCs w:val="24"/>
        </w:rPr>
        <w:tab/>
      </w:r>
    </w:p>
    <w:p w14:paraId="31CC9C40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показатели российского рынка (внутреннее производство</w:t>
      </w:r>
      <w:r w:rsidRPr="00876859">
        <w:rPr>
          <w:rFonts w:ascii="Times New Roman" w:hAnsi="Times New Roman" w:cs="Times New Roman"/>
          <w:sz w:val="24"/>
          <w:szCs w:val="24"/>
        </w:rPr>
        <w:tab/>
        <w:t xml:space="preserve">, экспортно-импортные поставки); </w:t>
      </w:r>
    </w:p>
    <w:p w14:paraId="11931F7D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ценовая конъюнктура;</w:t>
      </w:r>
      <w:r w:rsidRPr="00876859">
        <w:rPr>
          <w:rFonts w:ascii="Times New Roman" w:hAnsi="Times New Roman" w:cs="Times New Roman"/>
          <w:sz w:val="24"/>
          <w:szCs w:val="24"/>
        </w:rPr>
        <w:tab/>
      </w:r>
    </w:p>
    <w:p w14:paraId="542BC8E3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анализ потребительского спроса;</w:t>
      </w:r>
    </w:p>
    <w:p w14:paraId="2EC69B6F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анализ участников рынка;</w:t>
      </w:r>
    </w:p>
    <w:p w14:paraId="1445CB8A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 xml:space="preserve">характеристика производителей (показатели деятельности, финансовые индикаторы). </w:t>
      </w:r>
      <w:r w:rsidRPr="00876859">
        <w:rPr>
          <w:rFonts w:ascii="Times New Roman" w:hAnsi="Times New Roman" w:cs="Times New Roman"/>
          <w:sz w:val="24"/>
          <w:szCs w:val="24"/>
        </w:rPr>
        <w:tab/>
      </w:r>
    </w:p>
    <w:p w14:paraId="549E3B48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5555244D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Данное исследование предназначено для ряда специалистов, в частности:</w:t>
      </w:r>
    </w:p>
    <w:p w14:paraId="3E5E946F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4D7146D5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маркетологи-аналитики, менеджеры по маркетингу, менеджеры по маркетинговым исследованиям работающие в сфере производства биоразлагаемой одноразовой посуды;</w:t>
      </w:r>
    </w:p>
    <w:p w14:paraId="0DB7316C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директора по маркетингу, директора по продажам компаний, работающих в сфере производства биоразлагаемой одноразовой посуды;</w:t>
      </w:r>
    </w:p>
    <w:p w14:paraId="47EFC01F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коммерческие директора компаний, работающие в сфере производства биоразлагаемой одноразовой посуды;</w:t>
      </w:r>
    </w:p>
    <w:p w14:paraId="53AA2E77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частные инвесторы, планирующие приобрести акции предприятий, осуществляющих свою деятельность в сфере производства биоразлагаемой одноразовой посуды.</w:t>
      </w:r>
    </w:p>
    <w:p w14:paraId="42C576D4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2C6C7690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Данный отчет является продуктом интеллектуальной собственностью исследовательской компании NeoAnalytics.</w:t>
      </w:r>
    </w:p>
    <w:p w14:paraId="580D3A18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0E7A8503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Более подробно с результатами исследования можно ознакомиться на официальном сайте www.neoanalytics.ru</w:t>
      </w:r>
    </w:p>
    <w:p w14:paraId="0D4D72D9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6F3BAF7E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Исследование проведено в июне-июле 2022 года.</w:t>
      </w:r>
    </w:p>
    <w:p w14:paraId="5FC86B9C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Объем отчета – 83 стр.</w:t>
      </w:r>
    </w:p>
    <w:p w14:paraId="26D51CCF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Отчет содержит 19 таблиц и 60 графиков.</w:t>
      </w:r>
    </w:p>
    <w:p w14:paraId="58BF0292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Язык отчета – русский.</w:t>
      </w:r>
    </w:p>
    <w:p w14:paraId="32D27EEB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505BDC14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Рубрики и три ключевых слова, для данного отчета:</w:t>
      </w:r>
    </w:p>
    <w:p w14:paraId="6F16DBE1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5AFE472A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 xml:space="preserve">Ключевые слова </w:t>
      </w:r>
    </w:p>
    <w:p w14:paraId="67FCFCFB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</w:p>
    <w:p w14:paraId="6F822A82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Российский рынок одноразовой биоразлагаемой посуды, аналитический отчет, NeoAnalytics</w:t>
      </w:r>
    </w:p>
    <w:p w14:paraId="6FA5AAB2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ab/>
      </w:r>
    </w:p>
    <w:p w14:paraId="4192570A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Рубрики:</w:t>
      </w:r>
    </w:p>
    <w:p w14:paraId="2621F586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 xml:space="preserve">Исследования по регионам </w:t>
      </w:r>
    </w:p>
    <w:p w14:paraId="7FD4D5D1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Мониторинги рынков</w:t>
      </w:r>
    </w:p>
    <w:p w14:paraId="231B9F59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FMCG</w:t>
      </w:r>
    </w:p>
    <w:p w14:paraId="75BCECE0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 xml:space="preserve">Промышленность </w:t>
      </w:r>
    </w:p>
    <w:p w14:paraId="6BD83B84" w14:textId="77777777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>•</w:t>
      </w:r>
      <w:r w:rsidRPr="00876859">
        <w:rPr>
          <w:rFonts w:ascii="Times New Roman" w:hAnsi="Times New Roman" w:cs="Times New Roman"/>
          <w:sz w:val="24"/>
          <w:szCs w:val="24"/>
        </w:rPr>
        <w:tab/>
        <w:t>Тара, упаковка</w:t>
      </w:r>
    </w:p>
    <w:p w14:paraId="1FA0FBC6" w14:textId="617037C1" w:rsidR="00876859" w:rsidRPr="00876859" w:rsidRDefault="00876859" w:rsidP="00876859">
      <w:pPr>
        <w:rPr>
          <w:rFonts w:ascii="Times New Roman" w:hAnsi="Times New Roman" w:cs="Times New Roman"/>
          <w:sz w:val="24"/>
          <w:szCs w:val="24"/>
        </w:rPr>
      </w:pPr>
      <w:r w:rsidRPr="00876859">
        <w:rPr>
          <w:rFonts w:ascii="Times New Roman" w:hAnsi="Times New Roman" w:cs="Times New Roman"/>
          <w:sz w:val="24"/>
          <w:szCs w:val="24"/>
        </w:rPr>
        <w:t xml:space="preserve">Одноразовая </w:t>
      </w:r>
      <w:proofErr w:type="spellStart"/>
      <w:r w:rsidRPr="00876859">
        <w:rPr>
          <w:rFonts w:ascii="Times New Roman" w:hAnsi="Times New Roman" w:cs="Times New Roman"/>
          <w:sz w:val="24"/>
          <w:szCs w:val="24"/>
        </w:rPr>
        <w:t>биоразлагаемая</w:t>
      </w:r>
      <w:proofErr w:type="spellEnd"/>
      <w:r w:rsidRPr="00876859">
        <w:rPr>
          <w:rFonts w:ascii="Times New Roman" w:hAnsi="Times New Roman" w:cs="Times New Roman"/>
          <w:sz w:val="24"/>
          <w:szCs w:val="24"/>
        </w:rPr>
        <w:t xml:space="preserve"> посуда</w:t>
      </w:r>
    </w:p>
    <w:sectPr w:rsidR="00876859" w:rsidRPr="00876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59"/>
    <w:rsid w:val="008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A778"/>
  <w15:chartTrackingRefBased/>
  <w15:docId w15:val="{EFB82F64-8E3B-4892-B9EF-E83E187A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2022-07-20T07:54:00Z</dcterms:created>
  <dcterms:modified xsi:type="dcterms:W3CDTF">2022-07-20T07:55:00Z</dcterms:modified>
</cp:coreProperties>
</file>