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ПРЕСС-РЕЛИЗ</w:t>
        <w:br w:type="textWrapping"/>
        <w:t xml:space="preserve">01.09.2022 </w:t>
        <w:br w:type="textWrapping"/>
        <w:t xml:space="preserve">Йошкар-Ола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iSpring Suite 11: безграничные возможности в создании электронных курсов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0"/>
        </w:rPr>
        <w:t xml:space="preserve">Компания iSpring представила новую версию конструктора курсов — iSpring Suite 11. Новая версия инструмента открывает безграничные возможности для дизайна учебных материалов и разработки электронных курсов.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iSpring Suite — конструктор онлайн-курсов, видеолекций, тестов и ещё более 20 типов материалов для обучающего контента. Конструктор работает на базе Power Point и не требует специальных технических знаний в освоении.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«iSpring Suite 11 изменит подход к работе и позволит создавать курсы, тесты, интерактивные тренажёры в новом формате. Разработчики электронных курсов смогут полностью сосредоточиться на творчестве»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рассказал о возможностях обновлённой версии iSpring Suite директор по продуктовым операциям iSpring Илья Иванов.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Подробнее о главных новинках в функциональности iSpring Suite 11: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Гибкие настройки дизайна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iSpring Suite 11 позволяет создавать курсы в фирменном стиле, разрабатывать тесты, интерактивности и опросы в уникальном дизайне. Продвинутый раздел оформления курса позволяет гибко настраивать дизайн электронных курсов. Пользователь может переписать плеер управления и настроить его под себя: добавить градиенты, скруглить кнопки, поменять шрифты, изменить макет. Мобильная версия курсов поддерживает все настройки оформления. </w:t>
        <w:br w:type="textWrapping"/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Готовый набор профессиональных тем 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С iSpring Suite 11 можно превратить презентацию в профессиональный электронный курс. Это легко сделать с готовым набором тем. Пользователей ждёт целая коллекция новых шаблонов для оформления плеера в самых разных стилях. Курс будет выглядеть так, словно его сверстал опытный дизайнер.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Коллекция персонажей и локаций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Разработчикам курсов не придётся тратить время на поиск фонов и персонажей для слайдов в интернете. Коллекция из 18 персонажей разных возрастов, национальностей и профессий в библиотеке контента iSpring позволит оформлять материалы на принципиально новом уровне. Персонажи сыграют наставников, клиентов, сотрудников банков, бизнесменов, учителей и студентов — новые герои подойдут под любой учебный сценарий.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Атмосферные фоны перенесут обучающихся в новую обстановку, помогут придать нужный характер курсу и сделать его похожим на игру. В арсенале разработчиков более 360 иллюстраций, которые превратят курс в интерактивный квест с героями и локациями.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Обучение в комфортном темпе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iSpring Suite 11 позволяет выбрать скорость прохождения курса.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Например, вдвое быстрее посмотреть видеолекцию или замедлить озвучку на слайдах, чтобы расслышать каждую фразу. Пользователи смогут менять скорость воспроизведения курса прямо в плеере. Новая опция влияет на общее время курса, скорость видео и музыки на слайде, работу анимаций.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127" w:sz="0" w:val="none"/>
          <w:bottom w:color="auto" w:space="0" w:sz="0" w:val="none"/>
          <w:right w:color="auto" w:space="127" w:sz="0" w:val="none"/>
          <w:between w:color="auto" w:space="0" w:sz="0" w:val="none"/>
        </w:pBdr>
        <w:shd w:fill="ffffff" w:val="clear"/>
        <w:spacing w:after="4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Конструктор курсов iSpring Suite 11 доступен по подписке.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Клиенты с действующей подпиской получат доступ к арсеналу новых возможностей бесплатно — достаточно обновить конструктор.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Решения одобрены Минкомсвязи России и входят в единый реестр отечественного программного обеспечения.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iSpring — международная компания, разработчик профессиональных решений для корпоративного обучения. Уже более 20 лет iSpring успешно помогает компаниям по всему миру эффективно решать задачи по онлайн-обучению. 54 000 клиентов из 172 стран мира, среди них: Sony Group Corporation, METRO, Unilever, Bayer AG, Siemens AG, Royal Phillips, ПАО Сбербанк, АО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Райффайзенбанк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ПАО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ВымпелКом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ПАО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МТС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ПАО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МегаФон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УК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Альфа-Капитал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Додо Пицца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ПАО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Магнит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Аэрофлот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ЛУКОЙЛ, ООО 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Яндекс.Такси</w:t>
      </w:r>
      <w:r w:rsidDel="00000000" w:rsidR="00000000" w:rsidRPr="00000000">
        <w:rPr>
          <w:rFonts w:ascii="Roboto" w:cs="Roboto" w:eastAsia="Roboto" w:hAnsi="Roboto"/>
          <w:i w:val="1"/>
          <w:color w:val="202122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РУСАЛ и многие другие.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iSpring четвёртый год подряд входит в </w:t>
      </w:r>
      <w:hyperlink r:id="rId6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топ рейтинга российских EdTech-компаний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 Занимает лидирующие позиции обзоров</w:t>
      </w:r>
      <w:hyperlink r:id="rId7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 G2 Crowd 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в нескольких номинациях. По отзывам участников сообщества </w:t>
      </w:r>
      <w:hyperlink r:id="rId8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eLearning Industry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iSpring Learn входит в тройку лучших систем дистанционного обучения.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hyperlink r:id="rId9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www.ispring.ru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spring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edtechs.ru/" TargetMode="External"/><Relationship Id="rId7" Type="http://schemas.openxmlformats.org/officeDocument/2006/relationships/hyperlink" Target="https://www.g2.com/categories/course-authoring?tab=highest_rated" TargetMode="External"/><Relationship Id="rId8" Type="http://schemas.openxmlformats.org/officeDocument/2006/relationships/hyperlink" Target="https://elearningindustry.com/directory/software-categories/learning-management-systems/best/customer-experienc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