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Энергоэффективность как ключ роста доходов от майнинга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6 сентября 2022 года 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sz w:val="28"/>
            <w:szCs w:val="28"/>
            <w:u w:val="single"/>
            <w:rtl w:val="0"/>
          </w:rPr>
          <w:t xml:space="preserve">Российская ассоциация криптовалют и блокчейна</w:t>
        </w:r>
      </w:hyperlink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(РАКИБ),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sz w:val="28"/>
            <w:szCs w:val="28"/>
            <w:u w:val="single"/>
            <w:rtl w:val="0"/>
          </w:rPr>
          <w:t xml:space="preserve">Vekus Mining Development</w:t>
        </w:r>
      </w:hyperlink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(входит в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sz w:val="28"/>
            <w:szCs w:val="28"/>
            <w:u w:val="single"/>
            <w:rtl w:val="0"/>
          </w:rPr>
          <w:t xml:space="preserve">группу компаний “Векус”</w:t>
        </w:r>
      </w:hyperlink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) и </w:t>
      </w:r>
      <w:hyperlink r:id="rId9">
        <w:r w:rsidDel="00000000" w:rsidR="00000000" w:rsidRPr="00000000">
          <w:rPr>
            <w:rFonts w:ascii="Tahoma" w:cs="Tahoma" w:eastAsia="Tahoma" w:hAnsi="Tahoma"/>
            <w:color w:val="1155cc"/>
            <w:sz w:val="28"/>
            <w:szCs w:val="28"/>
            <w:u w:val="single"/>
            <w:rtl w:val="0"/>
          </w:rPr>
          <w:t xml:space="preserve">АНО “Научно-Исследовательский Институт Устойчивого развития в строительстве”</w:t>
        </w:r>
      </w:hyperlink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ahoma" w:cs="Tahoma" w:eastAsia="Tahoma" w:hAnsi="Tahoma"/>
          <w:sz w:val="28"/>
          <w:szCs w:val="28"/>
          <w:highlight w:val="white"/>
          <w:rtl w:val="0"/>
        </w:rPr>
        <w:t xml:space="preserve">АНО “НИИУРС”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) создали рабочую группу для разработки единого стандарта для энергоэффективного майнинга.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На технологической конференции </w:t>
      </w:r>
      <w:hyperlink r:id="rId10">
        <w:r w:rsidDel="00000000" w:rsidR="00000000" w:rsidRPr="00000000">
          <w:rPr>
            <w:rFonts w:ascii="Tahoma" w:cs="Tahoma" w:eastAsia="Tahoma" w:hAnsi="Tahoma"/>
            <w:color w:val="1155cc"/>
            <w:sz w:val="28"/>
            <w:szCs w:val="28"/>
            <w:highlight w:val="white"/>
            <w:u w:val="single"/>
            <w:rtl w:val="0"/>
          </w:rPr>
          <w:t xml:space="preserve">КРИПТО-САММИТ.РФ</w:t>
        </w:r>
      </w:hyperlink>
      <w:r w:rsidDel="00000000" w:rsidR="00000000" w:rsidRPr="00000000">
        <w:rPr>
          <w:rFonts w:ascii="Tahoma" w:cs="Tahoma" w:eastAsia="Tahoma" w:hAnsi="Tahoma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артнер Vekus Mining Development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Юрий Кудряшов, </w:t>
      </w:r>
      <w:r w:rsidDel="00000000" w:rsidR="00000000" w:rsidRPr="00000000">
        <w:rPr>
          <w:rFonts w:ascii="Tahoma" w:cs="Tahoma" w:eastAsia="Tahoma" w:hAnsi="Tahoma"/>
          <w:sz w:val="28"/>
          <w:szCs w:val="28"/>
          <w:highlight w:val="white"/>
          <w:rtl w:val="0"/>
        </w:rPr>
        <w:t xml:space="preserve">директор АНО “НИИУРС”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Вера Бурцева и директор по стратегическому маркетингу ГК “Векус” Даниил Шпайхлер </w:t>
      </w:r>
      <w:r w:rsidDel="00000000" w:rsidR="00000000" w:rsidRPr="00000000">
        <w:rPr>
          <w:rFonts w:ascii="Tahoma" w:cs="Tahoma" w:eastAsia="Tahoma" w:hAnsi="Tahoma"/>
          <w:sz w:val="28"/>
          <w:szCs w:val="28"/>
          <w:highlight w:val="white"/>
          <w:rtl w:val="0"/>
        </w:rPr>
        <w:t xml:space="preserve">выступили с докладом, по итогам которого была создана рабочая группа экспертов индустрии для разработки </w:t>
      </w:r>
      <w:r w:rsidDel="00000000" w:rsidR="00000000" w:rsidRPr="00000000">
        <w:rPr>
          <w:rFonts w:ascii="Tahoma" w:cs="Tahoma" w:eastAsia="Tahoma" w:hAnsi="Tahoma"/>
          <w:sz w:val="28"/>
          <w:szCs w:val="28"/>
          <w:highlight w:val="white"/>
          <w:rtl w:val="0"/>
        </w:rPr>
        <w:t xml:space="preserve">стандарта энергоэффективности в майнинге. Стандарт, выпуск которого планируется в феврале 2023 года, позволит девелоперам и операторам майнинг-площадок гарантировать инвесторам максимальный аптайм, в результате чего вырастет</w:t>
      </w:r>
      <w:r w:rsidDel="00000000" w:rsidR="00000000" w:rsidRPr="00000000">
        <w:rPr>
          <w:rFonts w:ascii="Tahoma" w:cs="Tahoma" w:eastAsia="Tahoma" w:hAnsi="Tahoma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эффективность добычи криптовалют и увеличится доходность майнинга. 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Юрий Кудряшов, партнер Vekus Mining Development, отметил: “Благодаря научному подходу и компьютерному моделированию температурных и скоростных полей станет возможным повысить качество инженерных решений для майнинг-модулей:  рассчитать системы фильтрации и вентиляции с учетом показателей влажности, температуры, времени года, региона и места, где будет установлен майнинг-контейнер.”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Вера Бурцева, </w:t>
      </w:r>
      <w:r w:rsidDel="00000000" w:rsidR="00000000" w:rsidRPr="00000000">
        <w:rPr>
          <w:rFonts w:ascii="Tahoma" w:cs="Tahoma" w:eastAsia="Tahoma" w:hAnsi="Tahoma"/>
          <w:sz w:val="28"/>
          <w:szCs w:val="28"/>
          <w:highlight w:val="white"/>
          <w:rtl w:val="0"/>
        </w:rPr>
        <w:t xml:space="preserve">директор АНО “НИИУРС”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подчеркнула: “Участники рабочей группы совместно разработают стандарт, который исключит частые отключения оборудования для его обслуживания, уменьшит простой из-за экстремальных погодных условий, сократит расходы на техническое обслуживание, увеличит время работы и срок службы оборудования.”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Стандарт войдет в национальную систему устойчивого развития в строительстве </w:t>
      </w:r>
      <w:hyperlink r:id="rId11">
        <w:r w:rsidDel="00000000" w:rsidR="00000000" w:rsidRPr="00000000">
          <w:rPr>
            <w:rFonts w:ascii="Tahoma" w:cs="Tahoma" w:eastAsia="Tahoma" w:hAnsi="Tahoma"/>
            <w:color w:val="1155cc"/>
            <w:sz w:val="28"/>
            <w:szCs w:val="28"/>
            <w:u w:val="single"/>
            <w:rtl w:val="0"/>
          </w:rPr>
          <w:t xml:space="preserve">Green Zoom</w:t>
        </w:r>
      </w:hyperlink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. Система Green Zoom уже применяется в жилищном строительстве, индустрии туризма, а также при создании классических центров обработки данных.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Принять участие в разработке этого проекта вы можете написав на почту: </w:t>
      </w:r>
      <w:hyperlink r:id="rId12">
        <w:r w:rsidDel="00000000" w:rsidR="00000000" w:rsidRPr="00000000">
          <w:rPr>
            <w:rFonts w:ascii="Tahoma" w:cs="Tahoma" w:eastAsia="Tahoma" w:hAnsi="Tahoma"/>
            <w:color w:val="1155cc"/>
            <w:sz w:val="28"/>
            <w:szCs w:val="28"/>
            <w:highlight w:val="white"/>
            <w:u w:val="single"/>
            <w:rtl w:val="0"/>
          </w:rPr>
          <w:t xml:space="preserve">host@vekus.ru</w:t>
        </w:r>
      </w:hyperlink>
      <w:r w:rsidDel="00000000" w:rsidR="00000000" w:rsidRPr="00000000">
        <w:rPr>
          <w:rFonts w:ascii="Tahoma" w:cs="Tahoma" w:eastAsia="Tahoma" w:hAnsi="Tahoma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О компании</w:t>
      </w:r>
    </w:p>
    <w:p w:rsidR="00000000" w:rsidDel="00000000" w:rsidP="00000000" w:rsidRDefault="00000000" w:rsidRPr="00000000" w14:paraId="0000000C">
      <w:pPr>
        <w:spacing w:after="240" w:before="240" w:lineRule="auto"/>
        <w:ind w:firstLine="566.9291338582675"/>
        <w:jc w:val="both"/>
        <w:rPr>
          <w:rFonts w:ascii="Tahoma" w:cs="Tahoma" w:eastAsia="Tahoma" w:hAnsi="Tahoma"/>
          <w:i w:val="1"/>
          <w:sz w:val="28"/>
          <w:szCs w:val="28"/>
        </w:rPr>
      </w:pPr>
      <w:hyperlink r:id="rId13">
        <w:r w:rsidDel="00000000" w:rsidR="00000000" w:rsidRPr="00000000">
          <w:rPr>
            <w:rFonts w:ascii="Tahoma" w:cs="Tahoma" w:eastAsia="Tahoma" w:hAnsi="Tahoma"/>
            <w:i w:val="1"/>
            <w:color w:val="1155cc"/>
            <w:sz w:val="28"/>
            <w:szCs w:val="28"/>
            <w:u w:val="single"/>
            <w:rtl w:val="0"/>
          </w:rPr>
          <w:t xml:space="preserve">Vekus Mining Development</w:t>
        </w:r>
      </w:hyperlink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 – девелопер и оператор майнинг-площадок, создающий стандарты дата-центров для майнинга. Единственный профессиональный IT-интегратор на рынке майнинга, внедряющий решения для ТЭЦ, ГРЭС, промышленных и других объектов, официальный представитель </w:t>
      </w:r>
      <w:hyperlink r:id="rId14">
        <w:r w:rsidDel="00000000" w:rsidR="00000000" w:rsidRPr="00000000">
          <w:rPr>
            <w:rFonts w:ascii="Tahoma" w:cs="Tahoma" w:eastAsia="Tahoma" w:hAnsi="Tahoma"/>
            <w:i w:val="1"/>
            <w:color w:val="1155cc"/>
            <w:sz w:val="28"/>
            <w:szCs w:val="28"/>
            <w:u w:val="single"/>
            <w:rtl w:val="0"/>
          </w:rPr>
          <w:t xml:space="preserve">Российской ассоциации криптоиндустрии и блокчейна</w:t>
        </w:r>
      </w:hyperlink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 в СЗФО. Входит в группу компаний “Векус”.</w:t>
      </w:r>
    </w:p>
    <w:p w:rsidR="00000000" w:rsidDel="00000000" w:rsidP="00000000" w:rsidRDefault="00000000" w:rsidRPr="00000000" w14:paraId="0000000D">
      <w:pPr>
        <w:spacing w:after="240" w:before="240" w:lineRule="auto"/>
        <w:ind w:firstLine="566.9291338582675"/>
        <w:jc w:val="both"/>
        <w:rPr>
          <w:rFonts w:ascii="Tahoma" w:cs="Tahoma" w:eastAsia="Tahoma" w:hAnsi="Tahoma"/>
          <w:i w:val="1"/>
          <w:sz w:val="28"/>
          <w:szCs w:val="28"/>
        </w:rPr>
      </w:pPr>
      <w:hyperlink r:id="rId15">
        <w:r w:rsidDel="00000000" w:rsidR="00000000" w:rsidRPr="00000000">
          <w:rPr>
            <w:rFonts w:ascii="Tahoma" w:cs="Tahoma" w:eastAsia="Tahoma" w:hAnsi="Tahoma"/>
            <w:i w:val="1"/>
            <w:color w:val="1155cc"/>
            <w:sz w:val="28"/>
            <w:szCs w:val="28"/>
            <w:highlight w:val="white"/>
            <w:u w:val="single"/>
            <w:rtl w:val="0"/>
          </w:rPr>
          <w:t xml:space="preserve">Группа компаний “Векус”</w:t>
        </w:r>
      </w:hyperlink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системный интегратор, предоставляющий весь спектр решений по ИТ-инфраструктуре для всех типов бизнесов: от государственных структур и компаний до предприятий МСП. В группу компаний входят подразделения, которые поставляют компьютерное оборудование и другие сложные IT-решения.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410.78740157480524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reenzoom.ru/" TargetMode="External"/><Relationship Id="rId10" Type="http://schemas.openxmlformats.org/officeDocument/2006/relationships/hyperlink" Target="https://lp.synergy.ru/criptosummit" TargetMode="External"/><Relationship Id="rId13" Type="http://schemas.openxmlformats.org/officeDocument/2006/relationships/hyperlink" Target="https://vekus-mining.ru/" TargetMode="External"/><Relationship Id="rId12" Type="http://schemas.openxmlformats.org/officeDocument/2006/relationships/hyperlink" Target="mailto:host@vekus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iiurs.ru/" TargetMode="External"/><Relationship Id="rId15" Type="http://schemas.openxmlformats.org/officeDocument/2006/relationships/hyperlink" Target="https://vekus.ru/" TargetMode="External"/><Relationship Id="rId14" Type="http://schemas.openxmlformats.org/officeDocument/2006/relationships/hyperlink" Target="https://racib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racib.com/" TargetMode="External"/><Relationship Id="rId7" Type="http://schemas.openxmlformats.org/officeDocument/2006/relationships/hyperlink" Target="https://vekus-mining.ru/" TargetMode="External"/><Relationship Id="rId8" Type="http://schemas.openxmlformats.org/officeDocument/2006/relationships/hyperlink" Target="https://vekus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