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E07" w:rsidRDefault="001B3E07">
      <w:pPr>
        <w:rPr>
          <w:sz w:val="28"/>
          <w:szCs w:val="28"/>
        </w:rPr>
      </w:pPr>
    </w:p>
    <w:p w:rsidR="001B3E07" w:rsidRDefault="001B3E07">
      <w:pPr>
        <w:rPr>
          <w:sz w:val="28"/>
          <w:szCs w:val="28"/>
        </w:rPr>
      </w:pPr>
    </w:p>
    <w:p w:rsidR="001B3E07" w:rsidRDefault="001B3E07">
      <w:pPr>
        <w:rPr>
          <w:sz w:val="28"/>
          <w:szCs w:val="28"/>
        </w:rPr>
      </w:pPr>
    </w:p>
    <w:p w:rsidR="001B3E07" w:rsidRDefault="001B3E07">
      <w:pPr>
        <w:rPr>
          <w:sz w:val="28"/>
          <w:szCs w:val="28"/>
        </w:rPr>
      </w:pPr>
    </w:p>
    <w:p w:rsidR="001B3E07" w:rsidRDefault="001B3E07">
      <w:pPr>
        <w:rPr>
          <w:sz w:val="28"/>
          <w:szCs w:val="28"/>
        </w:rPr>
      </w:pPr>
    </w:p>
    <w:tbl>
      <w:tblPr>
        <w:tblStyle w:val="af8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1B3E07">
        <w:tc>
          <w:tcPr>
            <w:tcW w:w="9344" w:type="dxa"/>
          </w:tcPr>
          <w:p w:rsidR="0031585B" w:rsidRDefault="0031585B">
            <w:pPr>
              <w:jc w:val="center"/>
              <w:rPr>
                <w:b/>
                <w:sz w:val="28"/>
                <w:szCs w:val="28"/>
              </w:rPr>
            </w:pPr>
          </w:p>
          <w:p w:rsidR="001B3E07" w:rsidRDefault="0031585B">
            <w:pPr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1B3E07" w:rsidRDefault="0031585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Штрафы, арест имущества, запрет на выезд -  что ждёт должника за электроэнергию </w:t>
            </w:r>
          </w:p>
          <w:p w:rsidR="001B3E07" w:rsidRDefault="001B3E0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3E07" w:rsidRDefault="0031585B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>22 сентября 2022 года, г. Краснодар.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«ТНС энерго Кубань» рекомендует не затягивать с оплатой счетов за электроэнергию, чтобы не допустить ограничение подачи ресурса. После применения таких крайних мер, возобновить энергоснабжение будет возможно только после полного погашения задолженности и в</w:t>
      </w:r>
      <w:r>
        <w:rPr>
          <w:sz w:val="28"/>
          <w:szCs w:val="28"/>
        </w:rPr>
        <w:t xml:space="preserve">озмещения расходов за ограничение/возобновление подачи ресурса. </w:t>
      </w:r>
    </w:p>
    <w:p w:rsidR="001B3E07" w:rsidRDefault="001B3E07">
      <w:pPr>
        <w:jc w:val="both"/>
        <w:rPr>
          <w:sz w:val="28"/>
          <w:szCs w:val="28"/>
        </w:rPr>
      </w:pPr>
    </w:p>
    <w:p w:rsidR="001B3E07" w:rsidRDefault="0031585B">
      <w:pPr>
        <w:jc w:val="both"/>
        <w:rPr>
          <w:sz w:val="28"/>
          <w:szCs w:val="28"/>
        </w:rPr>
      </w:pPr>
      <w:r>
        <w:rPr>
          <w:sz w:val="28"/>
          <w:szCs w:val="28"/>
        </w:rPr>
        <w:t>Кроме того, долги за электроэнергию могут также привести к:</w:t>
      </w:r>
    </w:p>
    <w:p w:rsidR="001B3E07" w:rsidRDefault="0031585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начислению пеней</w:t>
      </w:r>
      <w:r>
        <w:rPr>
          <w:sz w:val="28"/>
          <w:szCs w:val="28"/>
        </w:rPr>
        <w:t>, они начинают начисляться уже на 31 день просрочки платежа;</w:t>
      </w:r>
    </w:p>
    <w:p w:rsidR="001B3E07" w:rsidRDefault="0031585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плохой кредитной истории</w:t>
      </w:r>
      <w:r>
        <w:rPr>
          <w:sz w:val="28"/>
          <w:szCs w:val="28"/>
        </w:rPr>
        <w:t>. Придя в банк за кредито</w:t>
      </w:r>
      <w:r>
        <w:rPr>
          <w:sz w:val="28"/>
          <w:szCs w:val="28"/>
        </w:rPr>
        <w:t>м, должник может получить отказ в связи с попаданием в список недобросовестных плательщиков;</w:t>
      </w:r>
    </w:p>
    <w:p w:rsidR="001B3E07" w:rsidRDefault="0031585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аресту имущества.</w:t>
      </w:r>
      <w:r>
        <w:rPr>
          <w:sz w:val="28"/>
          <w:szCs w:val="28"/>
        </w:rPr>
        <w:t xml:space="preserve"> В рамках исполнительного производства судебные приставы могут описать имущество неплательщика и затем реализовать его в счет погашения долга. Н</w:t>
      </w:r>
      <w:r>
        <w:rPr>
          <w:sz w:val="28"/>
          <w:szCs w:val="28"/>
        </w:rPr>
        <w:t>а автотранспорт может быть наложен запрет на продажу;</w:t>
      </w:r>
    </w:p>
    <w:p w:rsidR="001B3E07" w:rsidRDefault="0031585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 xml:space="preserve">удержанию средств с банковских счетов. </w:t>
      </w:r>
      <w:r>
        <w:rPr>
          <w:sz w:val="28"/>
          <w:szCs w:val="28"/>
        </w:rPr>
        <w:t>По решению суда из зарплаты или иных доходов неплательщика может удерживаться необходимая сумма в счет погашения долга.</w:t>
      </w:r>
    </w:p>
    <w:p w:rsidR="001B3E07" w:rsidRDefault="0031585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запрету на вылет;</w:t>
      </w:r>
    </w:p>
    <w:p w:rsidR="001B3E07" w:rsidRDefault="0031585B">
      <w:pPr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/>
          <w:sz w:val="28"/>
          <w:szCs w:val="28"/>
        </w:rPr>
        <w:t>лишению льгот и суб</w:t>
      </w:r>
      <w:r>
        <w:rPr>
          <w:b/>
          <w:sz w:val="28"/>
          <w:szCs w:val="28"/>
        </w:rPr>
        <w:t>сидий</w:t>
      </w:r>
      <w:r>
        <w:rPr>
          <w:sz w:val="28"/>
          <w:szCs w:val="28"/>
        </w:rPr>
        <w:t>. Должника могут лишить права на получение льгот от социальной защиты населения: единовременных денежных компенсаций на оплату жилищно-коммунальных услуг.</w:t>
      </w:r>
    </w:p>
    <w:p w:rsidR="001B3E07" w:rsidRDefault="00315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«ТНС энерго Кубань» рекомендует оплачивать счета за электроэнергию до 10 числа каждого месяца. П</w:t>
      </w:r>
      <w:r>
        <w:rPr>
          <w:sz w:val="28"/>
          <w:szCs w:val="28"/>
        </w:rPr>
        <w:t xml:space="preserve">роще всего это сделать на нашем </w:t>
      </w:r>
      <w:hyperlink r:id="rId7">
        <w:r>
          <w:rPr>
            <w:color w:val="0563C1"/>
            <w:sz w:val="28"/>
            <w:szCs w:val="28"/>
            <w:u w:val="single"/>
          </w:rPr>
          <w:t>сайте</w:t>
        </w:r>
      </w:hyperlink>
      <w:r>
        <w:rPr>
          <w:sz w:val="28"/>
          <w:szCs w:val="28"/>
        </w:rPr>
        <w:t xml:space="preserve">, </w:t>
      </w:r>
      <w:hyperlink r:id="rId8">
        <w:r>
          <w:rPr>
            <w:color w:val="0563C1"/>
            <w:sz w:val="28"/>
            <w:szCs w:val="28"/>
            <w:u w:val="single"/>
          </w:rPr>
          <w:t>в личном кабинете</w:t>
        </w:r>
      </w:hyperlink>
      <w:r>
        <w:rPr>
          <w:sz w:val="28"/>
          <w:szCs w:val="28"/>
        </w:rPr>
        <w:t>, в мобильном приложении, очно в офисах компании и кассах партнерских о</w:t>
      </w:r>
      <w:r>
        <w:rPr>
          <w:sz w:val="28"/>
          <w:szCs w:val="28"/>
        </w:rPr>
        <w:t>рганизаций. Для оплаты не нужна бумажная квитанция, достаточно знать номер лицевого счета.</w:t>
      </w:r>
    </w:p>
    <w:p w:rsidR="001B3E07" w:rsidRDefault="001B3E07">
      <w:pPr>
        <w:jc w:val="both"/>
        <w:rPr>
          <w:i/>
          <w:sz w:val="28"/>
          <w:szCs w:val="28"/>
        </w:rPr>
      </w:pPr>
    </w:p>
    <w:p w:rsidR="001B3E07" w:rsidRDefault="001B3E07">
      <w:pPr>
        <w:jc w:val="both"/>
      </w:pPr>
      <w:bookmarkStart w:id="1" w:name="_heading=h.gjdgxs" w:colFirst="0" w:colLast="0"/>
      <w:bookmarkEnd w:id="1"/>
    </w:p>
    <w:p w:rsidR="001B3E07" w:rsidRDefault="0031585B">
      <w:pPr>
        <w:jc w:val="both"/>
        <w:rPr>
          <w:sz w:val="28"/>
          <w:szCs w:val="28"/>
        </w:rPr>
      </w:pPr>
      <w:r>
        <w:rPr>
          <w:b/>
          <w:i/>
          <w:sz w:val="27"/>
          <w:szCs w:val="27"/>
        </w:rPr>
        <w:t>Справка о компании:</w:t>
      </w:r>
    </w:p>
    <w:p w:rsidR="001B3E07" w:rsidRDefault="001B3E07">
      <w:pPr>
        <w:jc w:val="both"/>
        <w:rPr>
          <w:sz w:val="27"/>
          <w:szCs w:val="27"/>
        </w:rPr>
      </w:pPr>
    </w:p>
    <w:p w:rsidR="001B3E07" w:rsidRDefault="0031585B">
      <w:pPr>
        <w:jc w:val="both"/>
        <w:rPr>
          <w:i/>
          <w:sz w:val="26"/>
          <w:szCs w:val="26"/>
        </w:rPr>
      </w:pPr>
      <w:r>
        <w:rPr>
          <w:b/>
          <w:i/>
          <w:sz w:val="26"/>
          <w:szCs w:val="26"/>
        </w:rPr>
        <w:t xml:space="preserve">ПАО «ТНС энерго Кубань» — </w:t>
      </w:r>
      <w:r>
        <w:rPr>
          <w:i/>
          <w:sz w:val="26"/>
          <w:szCs w:val="26"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</w:t>
      </w:r>
      <w:r>
        <w:rPr>
          <w:i/>
          <w:sz w:val="26"/>
          <w:szCs w:val="26"/>
        </w:rPr>
        <w:lastRenderedPageBreak/>
        <w:t>розничных рынков электроэнергии. В состав компании входят 6 филиалов и 53</w:t>
      </w:r>
      <w:r>
        <w:rPr>
          <w:i/>
          <w:sz w:val="26"/>
          <w:szCs w:val="26"/>
        </w:rPr>
        <w:t xml:space="preserve"> </w:t>
      </w:r>
      <w:proofErr w:type="spellStart"/>
      <w:r>
        <w:rPr>
          <w:i/>
          <w:sz w:val="26"/>
          <w:szCs w:val="26"/>
        </w:rPr>
        <w:t>ЦОКа</w:t>
      </w:r>
      <w:proofErr w:type="spellEnd"/>
      <w:r>
        <w:rPr>
          <w:i/>
          <w:sz w:val="26"/>
          <w:szCs w:val="26"/>
        </w:rPr>
        <w:t>. Обслуживает более 58 тыс. потребителей — юридических лиц и почти 1 500 000 бытовых клиентов, что составляет 58,7 % рынка сбыта электроэнергии в регионе. Объем полезного отпуска электроэнергии ПАО «ТНС энерго Кубань» по итогам 2021 года составил 15 м</w:t>
      </w:r>
      <w:r>
        <w:rPr>
          <w:i/>
          <w:sz w:val="26"/>
          <w:szCs w:val="26"/>
        </w:rPr>
        <w:t>лрд кВт*ч</w:t>
      </w:r>
    </w:p>
    <w:p w:rsidR="001B3E07" w:rsidRDefault="001B3E07">
      <w:pPr>
        <w:jc w:val="both"/>
        <w:rPr>
          <w:i/>
          <w:sz w:val="26"/>
          <w:szCs w:val="26"/>
        </w:rPr>
      </w:pPr>
    </w:p>
    <w:p w:rsidR="001B3E07" w:rsidRDefault="001B3E07">
      <w:pPr>
        <w:jc w:val="both"/>
        <w:rPr>
          <w:i/>
          <w:sz w:val="28"/>
          <w:szCs w:val="28"/>
        </w:rPr>
      </w:pPr>
    </w:p>
    <w:p w:rsidR="001B3E07" w:rsidRDefault="0031585B">
      <w:pPr>
        <w:jc w:val="both"/>
        <w:rPr>
          <w:i/>
          <w:sz w:val="22"/>
          <w:szCs w:val="22"/>
        </w:rPr>
      </w:pPr>
      <w:r>
        <w:rPr>
          <w:b/>
          <w:i/>
          <w:sz w:val="27"/>
          <w:szCs w:val="27"/>
        </w:rPr>
        <w:t xml:space="preserve">ПАО ГК «ТНС энерго» </w:t>
      </w:r>
      <w:r>
        <w:rPr>
          <w:i/>
          <w:sz w:val="27"/>
          <w:szCs w:val="27"/>
        </w:rPr>
        <w:t xml:space="preserve">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Совокупный объем полезного отпуска электроэнергии Группы компаний «ТНС энерго» </w:t>
      </w:r>
      <w:r>
        <w:rPr>
          <w:i/>
          <w:sz w:val="27"/>
          <w:szCs w:val="27"/>
        </w:rPr>
        <w:t>по итогам 2021 года составил 67,08 млрд кВт</w:t>
      </w:r>
      <w:r>
        <w:rPr>
          <w:sz w:val="27"/>
          <w:szCs w:val="27"/>
        </w:rPr>
        <w:t>*ч</w:t>
      </w:r>
    </w:p>
    <w:p w:rsidR="001B3E07" w:rsidRDefault="001B3E07">
      <w:pPr>
        <w:jc w:val="both"/>
        <w:rPr>
          <w:sz w:val="28"/>
          <w:szCs w:val="28"/>
        </w:rPr>
      </w:pPr>
    </w:p>
    <w:p w:rsidR="001B3E07" w:rsidRDefault="0031585B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1B3E07" w:rsidRDefault="0031585B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1B3E07" w:rsidRDefault="0031585B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1B3E07" w:rsidRPr="0031585B" w:rsidRDefault="0031585B">
      <w:pPr>
        <w:jc w:val="right"/>
        <w:rPr>
          <w:color w:val="000000"/>
          <w:sz w:val="28"/>
          <w:szCs w:val="28"/>
          <w:lang w:val="en-US"/>
        </w:rPr>
      </w:pPr>
      <w:r w:rsidRPr="0031585B">
        <w:rPr>
          <w:color w:val="000000"/>
          <w:sz w:val="28"/>
          <w:szCs w:val="28"/>
          <w:lang w:val="en-US"/>
        </w:rPr>
        <w:t>+7 (861) 997-70-</w:t>
      </w:r>
      <w:proofErr w:type="gramStart"/>
      <w:r w:rsidRPr="0031585B">
        <w:rPr>
          <w:color w:val="000000"/>
          <w:sz w:val="28"/>
          <w:szCs w:val="28"/>
          <w:lang w:val="en-US"/>
        </w:rPr>
        <w:t>01  </w:t>
      </w:r>
      <w:proofErr w:type="spellStart"/>
      <w:r>
        <w:rPr>
          <w:color w:val="000000"/>
          <w:sz w:val="28"/>
          <w:szCs w:val="28"/>
        </w:rPr>
        <w:t>доб</w:t>
      </w:r>
      <w:proofErr w:type="spellEnd"/>
      <w:r w:rsidRPr="0031585B">
        <w:rPr>
          <w:color w:val="000000"/>
          <w:sz w:val="28"/>
          <w:szCs w:val="28"/>
          <w:lang w:val="en-US"/>
        </w:rPr>
        <w:t>.1453</w:t>
      </w:r>
      <w:proofErr w:type="gramEnd"/>
    </w:p>
    <w:p w:rsidR="001B3E07" w:rsidRPr="0031585B" w:rsidRDefault="0031585B">
      <w:pPr>
        <w:jc w:val="right"/>
        <w:rPr>
          <w:sz w:val="28"/>
          <w:szCs w:val="28"/>
          <w:lang w:val="en-US"/>
        </w:rPr>
      </w:pPr>
      <w:r w:rsidRPr="0031585B">
        <w:rPr>
          <w:sz w:val="28"/>
          <w:szCs w:val="28"/>
          <w:lang w:val="en-US"/>
        </w:rPr>
        <w:t>E-mail: pressa@kuban.tns-e.ru</w:t>
      </w:r>
    </w:p>
    <w:p w:rsidR="001B3E07" w:rsidRPr="0031585B" w:rsidRDefault="001B3E07">
      <w:pPr>
        <w:jc w:val="right"/>
        <w:rPr>
          <w:sz w:val="28"/>
          <w:szCs w:val="28"/>
          <w:lang w:val="en-US"/>
        </w:rPr>
      </w:pPr>
    </w:p>
    <w:p w:rsidR="001B3E07" w:rsidRPr="0031585B" w:rsidRDefault="001B3E07">
      <w:pPr>
        <w:jc w:val="right"/>
        <w:rPr>
          <w:sz w:val="28"/>
          <w:szCs w:val="28"/>
          <w:lang w:val="en-US"/>
        </w:rPr>
      </w:pPr>
    </w:p>
    <w:sectPr w:rsidR="001B3E07" w:rsidRPr="0031585B">
      <w:headerReference w:type="default" r:id="rId9"/>
      <w:headerReference w:type="first" r:id="rId10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31585B">
      <w:r>
        <w:separator/>
      </w:r>
    </w:p>
  </w:endnote>
  <w:endnote w:type="continuationSeparator" w:id="0">
    <w:p w:rsidR="00000000" w:rsidRDefault="003158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31585B">
      <w:r>
        <w:separator/>
      </w:r>
    </w:p>
  </w:footnote>
  <w:footnote w:type="continuationSeparator" w:id="0">
    <w:p w:rsidR="00000000" w:rsidRDefault="003158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E07" w:rsidRDefault="0031585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:rsidR="001B3E07" w:rsidRDefault="001B3E07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3E07" w:rsidRDefault="0031585B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3492500</wp:posOffset>
              </wp:positionH>
              <wp:positionV relativeFrom="paragraph">
                <wp:posOffset>177800</wp:posOffset>
              </wp:positionV>
              <wp:extent cx="2589647" cy="1356995"/>
              <wp:effectExtent l="0" t="0" r="0" b="0"/>
              <wp:wrapNone/>
              <wp:docPr id="5" name="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1B3E07" w:rsidRDefault="0031585B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1B3E07" w:rsidRDefault="0031585B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1B3E07" w:rsidRDefault="0031585B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1B3E07" w:rsidRDefault="0031585B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1B3E07" w:rsidRDefault="0031585B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1B3E07" w:rsidRDefault="0031585B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1B3E07" w:rsidRPr="0031585B" w:rsidRDefault="0031585B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31585B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3492500</wp:posOffset>
              </wp:positionH>
              <wp:positionV relativeFrom="paragraph">
                <wp:posOffset>177800</wp:posOffset>
              </wp:positionV>
              <wp:extent cx="2589647" cy="1356995"/>
              <wp:effectExtent b="0" l="0" r="0" t="0"/>
              <wp:wrapNone/>
              <wp:docPr id="5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589647" cy="135699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E07"/>
    <w:rsid w:val="001B3E07"/>
    <w:rsid w:val="0031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C5AADC"/>
  <w15:docId w15:val="{932F755A-87B3-4489-8D7C-91F15FF85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kuban.tns-e.ru/digital-bil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uban.tns-e.ru/population/digital-receipt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UTNgZoK2xIw47FA8XtcAtv0gWGg==">AMUW2mUDOWkW8rnTY8PZvCAohRpwHqOBtXbLohZJbyIi639O0lyZktUJ+kvor1QDhm4rhBrsi/LLstrx7EQmyWQXBjQpe327/vIARt0jyDQJYBNr947uHyFhwVdXk835gfAMWHHSLQul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414</Words>
  <Characters>2362</Characters>
  <Application>Microsoft Office Word</Application>
  <DocSecurity>0</DocSecurity>
  <Lines>19</Lines>
  <Paragraphs>5</Paragraphs>
  <ScaleCrop>false</ScaleCrop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Меньшиков Денис Геннадьевич</dc:creator>
  <cp:lastModifiedBy>Шамарина Тамара Александровна</cp:lastModifiedBy>
  <cp:revision>2</cp:revision>
  <dcterms:created xsi:type="dcterms:W3CDTF">2022-08-01T06:06:00Z</dcterms:created>
  <dcterms:modified xsi:type="dcterms:W3CDTF">2022-09-21T11:18:00Z</dcterms:modified>
</cp:coreProperties>
</file>