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9EE6" w14:textId="77777777" w:rsidR="00AB071E" w:rsidRDefault="00AB071E" w:rsidP="00AB071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</w:pPr>
    </w:p>
    <w:p w14:paraId="313EA124" w14:textId="77777777" w:rsidR="008D1BF2" w:rsidRDefault="008D1BF2" w:rsidP="00AB071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</w:pPr>
    </w:p>
    <w:p w14:paraId="4AB8B5C6" w14:textId="77777777" w:rsidR="00AB071E" w:rsidRPr="003348A2" w:rsidRDefault="00AB071E" w:rsidP="00AB071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</w:pPr>
      <w:r w:rsidRPr="003348A2"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  <w:t>ПРЕСС-РЕЛИЗ</w:t>
      </w:r>
    </w:p>
    <w:p w14:paraId="2B2242A6" w14:textId="047975B5" w:rsidR="00AB071E" w:rsidRDefault="008438B8" w:rsidP="00AB07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Pr="00E643FE">
        <w:rPr>
          <w:rFonts w:cs="Calibri"/>
          <w:sz w:val="24"/>
          <w:szCs w:val="24"/>
        </w:rPr>
        <w:t>3</w:t>
      </w:r>
      <w:r w:rsidR="00AB071E" w:rsidRPr="008C086E">
        <w:rPr>
          <w:rFonts w:cs="Calibri"/>
          <w:sz w:val="24"/>
          <w:szCs w:val="24"/>
        </w:rPr>
        <w:t xml:space="preserve"> </w:t>
      </w:r>
      <w:r w:rsidR="00C62602">
        <w:rPr>
          <w:rFonts w:cs="Calibri"/>
          <w:sz w:val="24"/>
          <w:szCs w:val="24"/>
        </w:rPr>
        <w:t>сентября</w:t>
      </w:r>
      <w:r w:rsidR="00AB071E" w:rsidRPr="008C086E">
        <w:rPr>
          <w:rFonts w:cs="Calibri"/>
          <w:sz w:val="24"/>
          <w:szCs w:val="24"/>
        </w:rPr>
        <w:t xml:space="preserve"> 2022 года</w:t>
      </w:r>
    </w:p>
    <w:p w14:paraId="3ED90327" w14:textId="3579AFDA" w:rsidR="0062791D" w:rsidRDefault="0062791D" w:rsidP="00273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</w:pPr>
    </w:p>
    <w:p w14:paraId="4D184457" w14:textId="3A7F4078" w:rsidR="0062791D" w:rsidRDefault="0062791D" w:rsidP="00273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</w:pPr>
      <w:r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  <w:t>НОПСМ оптимистично оценивает процесс импортозамещения в электротехнической отрасли</w:t>
      </w:r>
    </w:p>
    <w:p w14:paraId="501C4A4C" w14:textId="3327FABA" w:rsidR="00AF6B8B" w:rsidRPr="001E607C" w:rsidRDefault="00C43A9B" w:rsidP="006E17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>В</w:t>
      </w:r>
      <w:r w:rsidR="008267A1"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 рамках конгресса </w:t>
      </w:r>
      <w:r w:rsidR="0062791D"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>«Транспорт и строительство», прошедшего в Уфе, особый интерес вызвала</w:t>
      </w:r>
      <w:r w:rsidR="008A67CE"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 </w:t>
      </w:r>
      <w:r w:rsidR="008267A1"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>с</w:t>
      </w:r>
      <w:r w:rsidR="008A67CE"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ессия </w:t>
      </w:r>
      <w:r w:rsidR="008267A1"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>«</w:t>
      </w:r>
      <w:r w:rsidR="008A67CE"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>Импортозамещение в строительной отрасли: новая реальность, антикризисные меры и программы поддержки</w:t>
      </w:r>
      <w:r w:rsidR="008267A1"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>»</w:t>
      </w:r>
      <w:r w:rsidR="008A67CE"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>, организова</w:t>
      </w:r>
      <w:r w:rsidR="008267A1"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>нная</w:t>
      </w:r>
      <w:r w:rsidR="008A67CE"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 Ассоциаци</w:t>
      </w:r>
      <w:r w:rsidR="008267A1"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>ей</w:t>
      </w:r>
      <w:r w:rsidR="008A67CE"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 НОПСМ при участии НОСТРОЙ и застройщиков Республики Башкортостан</w:t>
      </w:r>
      <w:r w:rsidR="008267A1"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>.</w:t>
      </w:r>
      <w:r w:rsidR="00B92EC7"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 </w:t>
      </w:r>
      <w:r w:rsidR="00AF6B8B" w:rsidRPr="001E607C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 w:bidi="en-US"/>
        </w:rPr>
        <w:t>Сессия была посвящена поиску решений и координации усилий по импортозамещению в промышленности строительных материалов, изучению опыта в смежных отраслях и имеющихся в регионах ресурсов для восполнения сложившегося дефицита.</w:t>
      </w:r>
    </w:p>
    <w:p w14:paraId="685B134F" w14:textId="417B7D98" w:rsidR="00AF6B8B" w:rsidRPr="00C761CA" w:rsidRDefault="00AF6B8B" w:rsidP="00AF6B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Участники сессии отметили, что с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троительная индустрия является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важнейшим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драйвером региональной экономики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. 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В планах строителей Башкирии – довести уровень вводимого ж</w:t>
      </w:r>
      <w:r w:rsidR="0092165B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илья к 2030 году до 4 млн кв. м </w:t>
      </w:r>
      <w:r w:rsidR="00866C33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в год </w:t>
      </w:r>
      <w:r w:rsidR="0092165B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(текущий показатель – 2,8 млн кв. м).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1E607C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Д</w:t>
      </w:r>
      <w:r w:rsidR="00866C33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оля 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электротехнически</w:t>
      </w:r>
      <w:r w:rsidR="00866C33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х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издели</w:t>
      </w:r>
      <w:r w:rsidR="00866C33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й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в смете строительства жилых и общественных зданий достигает 7%. </w:t>
      </w:r>
      <w:r w:rsidR="00866C33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При этом есть отдельные категории продукции, </w:t>
      </w:r>
      <w:r w:rsidR="00B92EC7"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например кабельно-проводниковая,</w:t>
      </w:r>
      <w:r w:rsidR="00B92EC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которые</w:t>
      </w:r>
      <w:r w:rsidR="00B92EC7"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на 100% производ</w:t>
      </w:r>
      <w:r w:rsidR="00B92EC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я</w:t>
      </w:r>
      <w:r w:rsidR="00B92EC7"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тся в России</w:t>
      </w:r>
      <w:r w:rsidR="00C761CA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.</w:t>
      </w:r>
    </w:p>
    <w:p w14:paraId="325759E8" w14:textId="77777777" w:rsidR="001E607C" w:rsidRDefault="0092165B" w:rsidP="001E6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«</w:t>
      </w:r>
      <w:r w:rsidR="00866C33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Дальнейшее р</w:t>
      </w:r>
      <w:r w:rsidRPr="006E172B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азвитие импортозамещения </w:t>
      </w:r>
      <w:r w:rsidR="00866C33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в сфере </w:t>
      </w:r>
      <w:r w:rsidRPr="006E172B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электротехнических изделий должно основываться на экономической целесообразности и технологических приоритетах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.</w:t>
      </w:r>
      <w:r w:rsidRPr="0092165B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866C33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В этом стратегическом для страны направлении нужно двигаться четко </w:t>
      </w:r>
      <w:r w:rsidR="001E607C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вымере</w:t>
      </w:r>
      <w:r w:rsidR="00866C33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нными экономически шагами. 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По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отдельным товарным группам зависимость от импорта </w:t>
      </w:r>
      <w:r w:rsidR="00866C33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пока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высока, но не критична, так как основная доля импорта приходится на дружественные </w:t>
      </w:r>
      <w:r w:rsidR="00866C33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экономики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, - пояснил </w:t>
      </w:r>
      <w:r w:rsidR="00AF6B8B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Председатель </w:t>
      </w:r>
      <w:r w:rsidR="00AF6B8B">
        <w:rPr>
          <w:rFonts w:eastAsia="Calibri" w:cs="Calibri"/>
          <w:bCs/>
          <w:color w:val="auto"/>
          <w:sz w:val="24"/>
          <w:szCs w:val="24"/>
          <w:bdr w:val="none" w:sz="0" w:space="0" w:color="auto"/>
          <w:lang w:val="en-US" w:eastAsia="en-GB" w:bidi="en-US"/>
        </w:rPr>
        <w:t>EL</w:t>
      </w:r>
      <w:r w:rsidR="00AF6B8B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-Комитета НОПСМ и директор по работе с госорганами </w:t>
      </w:r>
      <w:r w:rsidR="00AF6B8B">
        <w:rPr>
          <w:rFonts w:eastAsia="Calibri" w:cs="Calibri"/>
          <w:bCs/>
          <w:color w:val="auto"/>
          <w:sz w:val="24"/>
          <w:szCs w:val="24"/>
          <w:bdr w:val="none" w:sz="0" w:space="0" w:color="auto"/>
          <w:lang w:val="en-US" w:eastAsia="en-GB" w:bidi="en-US"/>
        </w:rPr>
        <w:t>TDM</w:t>
      </w:r>
      <w:r w:rsidR="00AF6B8B" w:rsidRPr="00AF6B8B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AF6B8B">
        <w:rPr>
          <w:rFonts w:eastAsia="Calibri" w:cs="Calibri"/>
          <w:bCs/>
          <w:color w:val="auto"/>
          <w:sz w:val="24"/>
          <w:szCs w:val="24"/>
          <w:bdr w:val="none" w:sz="0" w:space="0" w:color="auto"/>
          <w:lang w:val="en-US" w:eastAsia="en-GB" w:bidi="en-US"/>
        </w:rPr>
        <w:t>ELECTRIC</w:t>
      </w:r>
      <w:r w:rsidR="00AF6B8B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Дмитрий Зорин</w:t>
      </w:r>
      <w:r w:rsidR="00AF6B8B"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.</w:t>
      </w:r>
      <w:r w:rsidR="000D028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-</w:t>
      </w:r>
      <w:r w:rsidR="001E607C" w:rsidRPr="001E607C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Для рынка электротехники возможен плавный переход в области импортозамещения, дефицита по ключевым из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делиям в России нет, беды не ждите»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, - 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заверил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Дмитрий Зорин.</w:t>
      </w:r>
      <w:r w:rsidR="00B92EC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</w:p>
    <w:p w14:paraId="78D622E0" w14:textId="7FF698F8" w:rsidR="0092165B" w:rsidRPr="00A123A2" w:rsidRDefault="000D028D" w:rsidP="001E6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9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К слову</w:t>
      </w:r>
      <w:r w:rsidR="00B92EC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, д</w:t>
      </w:r>
      <w:r w:rsidR="0092165B"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оля производства кабел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я</w:t>
      </w:r>
      <w:r w:rsidR="0092165B"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в </w:t>
      </w:r>
      <w:r w:rsidR="0092165B"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продук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товой линейке</w:t>
      </w:r>
      <w:r w:rsidR="0092165B"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TDM ELECTRIC занимает 30%, а локализация в общем обороте производимого электротехнического ассортимента 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компании </w:t>
      </w:r>
      <w:r w:rsidR="0092165B"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превышает 50%.</w:t>
      </w:r>
    </w:p>
    <w:p w14:paraId="4A04EFFF" w14:textId="0FB3B512" w:rsidR="00217A42" w:rsidRPr="00A123A2" w:rsidRDefault="00217A42" w:rsidP="00A12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В ходе сессии </w:t>
      </w:r>
      <w:r w:rsidR="00B92EC7"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внимание</w:t>
      </w:r>
      <w:r w:rsidR="00B92EC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участников</w:t>
      </w:r>
      <w:r w:rsidR="00B92EC7"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A97D2A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было</w:t>
      </w:r>
      <w:r w:rsidR="001E607C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акцентирова</w:t>
      </w:r>
      <w:r w:rsidR="00A97D2A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но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на том, что в помощь строительным организациям </w:t>
      </w:r>
      <w:r w:rsidR="00B92EC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был 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сформирован </w:t>
      </w:r>
      <w:r w:rsidR="00B92EC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«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Каталог импортозамещения</w:t>
      </w:r>
      <w:r w:rsidR="00B92EC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»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B92EC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– «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единственный официальный отраслевой инструмент, который </w:t>
      </w:r>
      <w:r w:rsidR="000D028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четко отражает, какие категории товаров на данный момент уже производятся в России и какими производителями. Он</w:t>
      </w:r>
      <w:r w:rsidR="00B92EC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был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создан по поручению и </w:t>
      </w:r>
      <w:r w:rsidR="00B92EC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при 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поддержке Минстроя России</w:t>
      </w:r>
      <w:r w:rsidR="00B92EC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и опубликован на сайте НОСТРОЙ»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,</w:t>
      </w:r>
      <w:r w:rsidR="00B92EC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0D028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- 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подчеркнул представитель Ассоциации НОСТРОЙ Павел Малахов.</w:t>
      </w:r>
    </w:p>
    <w:p w14:paraId="3A77F6F5" w14:textId="11804D55" w:rsidR="00217A42" w:rsidRDefault="00217A42" w:rsidP="00A12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Застройщикам напомнили, что компания TDM ELECTRIC</w:t>
      </w:r>
      <w:r w:rsidR="000D028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,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ведущий российский производитель и поставщик электротехнической продукции</w:t>
      </w:r>
      <w:r w:rsidR="000D028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,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одн</w:t>
      </w:r>
      <w:r w:rsidR="000D028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ой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из первых </w:t>
      </w:r>
      <w:r w:rsidR="008D1BF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была 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lastRenderedPageBreak/>
        <w:t xml:space="preserve">включена в </w:t>
      </w:r>
      <w:r w:rsidR="008D1BF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«</w:t>
      </w:r>
      <w:r w:rsidR="008D1BF2"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Каталог импортозамещения</w:t>
      </w:r>
      <w:r w:rsidR="008D1BF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», представ</w:t>
      </w:r>
      <w:r w:rsidR="000D028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ив</w:t>
      </w:r>
      <w:r w:rsidR="008D1BF2"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0D028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там 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более 300 вид</w:t>
      </w:r>
      <w:r w:rsidR="008D1BF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ов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продукции, </w:t>
      </w:r>
      <w:r w:rsidR="008D1BF2"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аналогичной </w:t>
      </w:r>
      <w:r w:rsidRPr="00A123A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производимой компаниями, ушедшими с российского рынка.</w:t>
      </w:r>
    </w:p>
    <w:p w14:paraId="2749EF5F" w14:textId="25DDBF17" w:rsidR="00C43A9B" w:rsidRPr="00A97D2A" w:rsidRDefault="00C43A9B" w:rsidP="00A97D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 w:rsidRPr="00A97D2A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Приоритетными отраслевыми целями Дмитрий Зорин считает необходимость выстраивания технологического суверенитета путем создания научной базы, восстановления индустрии </w:t>
      </w:r>
      <w:proofErr w:type="spellStart"/>
      <w:r w:rsidRPr="00A97D2A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станко</w:t>
      </w:r>
      <w:proofErr w:type="spellEnd"/>
      <w:r w:rsidRPr="00A97D2A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- и машиностроения. Он отметил, что компанией TDM ELECTRIC реализуется инвестиционная программа </w:t>
      </w:r>
      <w:r w:rsidR="0062791D" w:rsidRPr="00A97D2A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более чем на</w:t>
      </w:r>
      <w:r w:rsidRPr="00A97D2A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2 млрд рублей, предусматривающая развитие собственных производственных мощностей.</w:t>
      </w:r>
    </w:p>
    <w:p w14:paraId="13B97217" w14:textId="77777777" w:rsidR="0062791D" w:rsidRPr="001E607C" w:rsidRDefault="0062791D" w:rsidP="006279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/>
        </w:rPr>
      </w:pPr>
      <w:r w:rsidRPr="001E607C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Конгресс, проходивший 18-22 сентября в Уфе</w:t>
      </w:r>
      <w:r w:rsidRPr="0062791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Pr="001E607C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при поддержке Министерства транспорта и Минстроя России</w:t>
      </w:r>
      <w:r w:rsidRPr="001E607C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/>
        </w:rPr>
        <w:t xml:space="preserve">, посетили более 5000 человек, в деловой программе участвовали более 2700 делегатов. </w:t>
      </w:r>
    </w:p>
    <w:p w14:paraId="7C0CD7A3" w14:textId="77777777" w:rsidR="0062791D" w:rsidRDefault="0062791D" w:rsidP="00C43A9B">
      <w:pPr>
        <w:jc w:val="both"/>
        <w:rPr>
          <w:color w:val="0A0A0A"/>
          <w:sz w:val="27"/>
          <w:szCs w:val="27"/>
          <w:highlight w:val="white"/>
        </w:rPr>
      </w:pPr>
    </w:p>
    <w:p w14:paraId="334B71B4" w14:textId="77777777" w:rsidR="00AE12D2" w:rsidRDefault="004D29B4">
      <w:pPr>
        <w:pStyle w:val="a7"/>
        <w:spacing w:after="120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Контактная информация</w:t>
      </w:r>
    </w:p>
    <w:p w14:paraId="7055D73C" w14:textId="77777777" w:rsidR="00AE12D2" w:rsidRDefault="004D29B4">
      <w:pPr>
        <w:pStyle w:val="a8"/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Евгений Романов</w:t>
      </w:r>
    </w:p>
    <w:p w14:paraId="31D08778" w14:textId="5F496330" w:rsidR="00AE12D2" w:rsidRPr="008438B8" w:rsidRDefault="004D29B4" w:rsidP="00D5520D">
      <w:pPr>
        <w:pStyle w:val="a8"/>
        <w:spacing w:before="0"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Моб</w:t>
      </w:r>
      <w:r w:rsidR="008438B8" w:rsidRPr="008438B8">
        <w:rPr>
          <w:rFonts w:ascii="Calibri" w:hAnsi="Calibri"/>
          <w:sz w:val="22"/>
          <w:szCs w:val="22"/>
        </w:rPr>
        <w:t>.</w:t>
      </w:r>
      <w:r w:rsidRPr="008438B8">
        <w:rPr>
          <w:rFonts w:ascii="Calibri" w:hAnsi="Calibri"/>
          <w:sz w:val="22"/>
          <w:szCs w:val="22"/>
        </w:rPr>
        <w:t>/</w:t>
      </w:r>
      <w:proofErr w:type="gramEnd"/>
      <w:r w:rsidRPr="00AC454D">
        <w:rPr>
          <w:rFonts w:ascii="Calibri" w:hAnsi="Calibri"/>
          <w:sz w:val="22"/>
          <w:szCs w:val="22"/>
          <w:lang w:val="en-US"/>
        </w:rPr>
        <w:t>WhatsApp</w:t>
      </w:r>
      <w:r w:rsidRPr="008438B8">
        <w:rPr>
          <w:rFonts w:ascii="Calibri" w:hAnsi="Calibri"/>
          <w:sz w:val="22"/>
          <w:szCs w:val="22"/>
        </w:rPr>
        <w:t>/</w:t>
      </w:r>
      <w:r w:rsidR="004D0E5A">
        <w:rPr>
          <w:rFonts w:ascii="Calibri" w:hAnsi="Calibri"/>
          <w:sz w:val="22"/>
          <w:szCs w:val="22"/>
          <w:lang w:val="en-US"/>
        </w:rPr>
        <w:t>Telegram</w:t>
      </w:r>
      <w:r w:rsidRPr="008438B8">
        <w:rPr>
          <w:rFonts w:ascii="Calibri" w:hAnsi="Calibri"/>
          <w:sz w:val="22"/>
          <w:szCs w:val="22"/>
        </w:rPr>
        <w:t xml:space="preserve"> +7(999)800-54-55 </w:t>
      </w:r>
    </w:p>
    <w:p w14:paraId="27E9DC2A" w14:textId="77777777" w:rsidR="00AE12D2" w:rsidRPr="008438B8" w:rsidRDefault="004D29B4">
      <w:pPr>
        <w:pStyle w:val="a7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</w:rPr>
        <w:t>Email</w:t>
      </w:r>
      <w:r w:rsidRPr="008438B8">
        <w:rPr>
          <w:rFonts w:ascii="Calibri" w:hAnsi="Calibri"/>
          <w:sz w:val="22"/>
          <w:szCs w:val="22"/>
          <w:lang w:val="ru-RU"/>
        </w:rPr>
        <w:t xml:space="preserve">: </w:t>
      </w:r>
      <w:hyperlink r:id="rId7" w:history="1">
        <w:r>
          <w:rPr>
            <w:rStyle w:val="Hyperlink0"/>
          </w:rPr>
          <w:t>romanov</w:t>
        </w:r>
        <w:r w:rsidRPr="008438B8">
          <w:rPr>
            <w:rStyle w:val="Hyperlink0"/>
            <w:lang w:val="ru-RU"/>
          </w:rPr>
          <w:t>@</w:t>
        </w:r>
        <w:r>
          <w:rPr>
            <w:rStyle w:val="Hyperlink0"/>
          </w:rPr>
          <w:t>insiders</w:t>
        </w:r>
        <w:r w:rsidRPr="008438B8">
          <w:rPr>
            <w:rStyle w:val="Hyperlink0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</w:p>
    <w:p w14:paraId="51AFFB5E" w14:textId="77777777" w:rsidR="00C62602" w:rsidRPr="00C62602" w:rsidRDefault="00C62602" w:rsidP="00C62602">
      <w:pPr>
        <w:pStyle w:val="a7"/>
        <w:spacing w:after="120" w:line="288" w:lineRule="auto"/>
        <w:ind w:right="135"/>
        <w:jc w:val="both"/>
        <w:rPr>
          <w:rFonts w:ascii="Arial" w:hAnsi="Arial"/>
          <w:b/>
          <w:bCs/>
          <w:lang w:val="ru-RU"/>
        </w:rPr>
      </w:pPr>
      <w:r w:rsidRPr="00C62602">
        <w:rPr>
          <w:rFonts w:ascii="Arial" w:hAnsi="Arial"/>
          <w:b/>
          <w:bCs/>
          <w:lang w:val="ru-RU"/>
        </w:rPr>
        <w:t>Справка о компании</w:t>
      </w:r>
    </w:p>
    <w:p w14:paraId="674B2342" w14:textId="77777777" w:rsidR="00C62602" w:rsidRPr="00C62602" w:rsidRDefault="00C62602" w:rsidP="00BF6247">
      <w:pPr>
        <w:pStyle w:val="a7"/>
        <w:spacing w:after="120" w:line="312" w:lineRule="auto"/>
        <w:ind w:right="136"/>
        <w:jc w:val="both"/>
        <w:rPr>
          <w:rFonts w:ascii="Arial" w:hAnsi="Arial"/>
          <w:i/>
          <w:iCs/>
          <w:lang w:val="ru-RU"/>
        </w:rPr>
      </w:pPr>
      <w:bookmarkStart w:id="0" w:name="_GoBack"/>
      <w:r w:rsidRPr="00C62602">
        <w:rPr>
          <w:rFonts w:ascii="Arial" w:hAnsi="Arial"/>
          <w:i/>
          <w:iCs/>
        </w:rPr>
        <w:t>TDM</w:t>
      </w:r>
      <w:r w:rsidRPr="008E0331">
        <w:rPr>
          <w:rFonts w:ascii="Arial" w:hAnsi="Arial"/>
          <w:i/>
          <w:iCs/>
          <w:lang w:val="ru-RU"/>
        </w:rPr>
        <w:t xml:space="preserve"> </w:t>
      </w:r>
      <w:r w:rsidRPr="00C62602">
        <w:rPr>
          <w:rFonts w:ascii="Arial" w:hAnsi="Arial"/>
          <w:i/>
          <w:iCs/>
        </w:rPr>
        <w:t>ELECTRIC</w:t>
      </w:r>
      <w:r w:rsidRPr="008E0331">
        <w:rPr>
          <w:rFonts w:ascii="Arial" w:hAnsi="Arial"/>
          <w:i/>
          <w:iCs/>
          <w:lang w:val="ru-RU"/>
        </w:rPr>
        <w:t xml:space="preserve"> - крупнейший российский производитель и поставщик под собственной торговой маркой электро-, светотехнической и кабельно-проводниковой продукции для дома, офиса и предприятия. </w:t>
      </w:r>
      <w:r w:rsidRPr="00C62602">
        <w:rPr>
          <w:rFonts w:ascii="Arial" w:hAnsi="Arial"/>
          <w:i/>
          <w:iCs/>
          <w:lang w:val="ru-RU"/>
        </w:rPr>
        <w:t xml:space="preserve">Ассортимент торговой марки </w:t>
      </w:r>
      <w:r w:rsidRPr="00C62602">
        <w:rPr>
          <w:rFonts w:ascii="Arial" w:hAnsi="Arial"/>
          <w:i/>
          <w:iCs/>
        </w:rPr>
        <w:t>TDM</w:t>
      </w:r>
      <w:r w:rsidRPr="00C62602">
        <w:rPr>
          <w:rFonts w:ascii="Arial" w:hAnsi="Arial"/>
          <w:i/>
          <w:iCs/>
          <w:lang w:val="ru-RU"/>
        </w:rPr>
        <w:t xml:space="preserve"> Е</w:t>
      </w:r>
      <w:r w:rsidRPr="00C62602">
        <w:rPr>
          <w:rFonts w:ascii="Arial" w:hAnsi="Arial"/>
          <w:i/>
          <w:iCs/>
        </w:rPr>
        <w:t>LECTRIC</w:t>
      </w:r>
      <w:r w:rsidRPr="00C62602">
        <w:rPr>
          <w:rFonts w:ascii="Arial" w:hAnsi="Arial"/>
          <w:i/>
          <w:iCs/>
          <w:lang w:val="ru-RU"/>
        </w:rPr>
        <w:t xml:space="preserve"> постоянно увеличивается и насчитывает свыше 15</w:t>
      </w:r>
      <w:r>
        <w:rPr>
          <w:rFonts w:ascii="Arial" w:hAnsi="Arial"/>
          <w:i/>
          <w:iCs/>
          <w:lang w:val="ru-RU"/>
        </w:rPr>
        <w:t> </w:t>
      </w:r>
      <w:r w:rsidRPr="00C62602">
        <w:rPr>
          <w:rFonts w:ascii="Arial" w:hAnsi="Arial"/>
          <w:i/>
          <w:iCs/>
          <w:lang w:val="ru-RU"/>
        </w:rPr>
        <w:t xml:space="preserve">000 позиций. Более </w:t>
      </w:r>
      <w:r>
        <w:rPr>
          <w:rFonts w:ascii="Arial" w:hAnsi="Arial"/>
          <w:i/>
          <w:iCs/>
          <w:lang w:val="ru-RU"/>
        </w:rPr>
        <w:t>50%</w:t>
      </w:r>
      <w:r w:rsidRPr="00C62602">
        <w:rPr>
          <w:rFonts w:ascii="Arial" w:hAnsi="Arial"/>
          <w:i/>
          <w:iCs/>
          <w:lang w:val="ru-RU"/>
        </w:rPr>
        <w:t xml:space="preserve"> от оборота п</w:t>
      </w:r>
      <w:r>
        <w:rPr>
          <w:rFonts w:ascii="Arial" w:hAnsi="Arial"/>
          <w:i/>
          <w:iCs/>
          <w:lang w:val="ru-RU"/>
        </w:rPr>
        <w:t>роизводимой компанией продукции</w:t>
      </w:r>
      <w:r w:rsidRPr="00C62602">
        <w:rPr>
          <w:rFonts w:ascii="Arial" w:hAnsi="Arial"/>
          <w:i/>
          <w:iCs/>
          <w:lang w:val="ru-RU"/>
        </w:rPr>
        <w:t xml:space="preserve"> локализовано на отечественных промышленных предприятиях. Вся производимая продукция соответствует техническим стандартам качества и требованиям безопасности. </w:t>
      </w:r>
    </w:p>
    <w:p w14:paraId="48947A36" w14:textId="77777777" w:rsidR="00C62602" w:rsidRPr="008E0331" w:rsidRDefault="00C62602" w:rsidP="00BF6247">
      <w:pPr>
        <w:pStyle w:val="a7"/>
        <w:spacing w:after="120" w:line="312" w:lineRule="auto"/>
        <w:ind w:right="136"/>
        <w:jc w:val="both"/>
        <w:rPr>
          <w:rFonts w:ascii="Arial" w:hAnsi="Arial"/>
          <w:i/>
          <w:iCs/>
          <w:lang w:val="ru-RU"/>
        </w:rPr>
      </w:pPr>
      <w:r w:rsidRPr="008E0331">
        <w:rPr>
          <w:rFonts w:ascii="Arial" w:hAnsi="Arial"/>
          <w:i/>
          <w:iCs/>
          <w:lang w:val="ru-RU"/>
        </w:rPr>
        <w:t xml:space="preserve">В 2019 году в собственность был приобретён Рыбинский электромонтажный завод (РЭМЗ), что позволило </w:t>
      </w:r>
      <w:r w:rsidRPr="00C62602">
        <w:rPr>
          <w:rFonts w:ascii="Arial" w:hAnsi="Arial"/>
          <w:i/>
          <w:iCs/>
        </w:rPr>
        <w:t>TDM</w:t>
      </w:r>
      <w:r w:rsidRPr="008E0331">
        <w:rPr>
          <w:rFonts w:ascii="Arial" w:hAnsi="Arial"/>
          <w:i/>
          <w:iCs/>
          <w:lang w:val="ru-RU"/>
        </w:rPr>
        <w:t xml:space="preserve"> Е</w:t>
      </w:r>
      <w:r w:rsidRPr="00C62602">
        <w:rPr>
          <w:rFonts w:ascii="Arial" w:hAnsi="Arial"/>
          <w:i/>
          <w:iCs/>
        </w:rPr>
        <w:t>LECTRIC</w:t>
      </w:r>
      <w:r w:rsidRPr="008E0331">
        <w:rPr>
          <w:rFonts w:ascii="Arial" w:hAnsi="Arial"/>
          <w:i/>
          <w:iCs/>
          <w:lang w:val="ru-RU"/>
        </w:rPr>
        <w:t xml:space="preserve"> стать торгово-производственной компанией полного цикла. Общий оборот холдинга за 2021 год составил 13,46 млрд рублей. Численность сотрудников 1050 человек, более 400 компаний в России и странах СНГ выбрали </w:t>
      </w:r>
      <w:r w:rsidRPr="00C62602">
        <w:rPr>
          <w:rFonts w:ascii="Arial" w:hAnsi="Arial"/>
          <w:i/>
          <w:iCs/>
        </w:rPr>
        <w:t>TDM</w:t>
      </w:r>
      <w:r w:rsidRPr="008E0331">
        <w:rPr>
          <w:rFonts w:ascii="Arial" w:hAnsi="Arial"/>
          <w:i/>
          <w:iCs/>
          <w:lang w:val="ru-RU"/>
        </w:rPr>
        <w:t xml:space="preserve"> </w:t>
      </w:r>
      <w:r w:rsidRPr="00C62602">
        <w:rPr>
          <w:rFonts w:ascii="Arial" w:hAnsi="Arial"/>
          <w:i/>
          <w:iCs/>
        </w:rPr>
        <w:t>ELECTRIC</w:t>
      </w:r>
      <w:r w:rsidRPr="008E0331">
        <w:rPr>
          <w:rFonts w:ascii="Arial" w:hAnsi="Arial"/>
          <w:i/>
          <w:iCs/>
          <w:lang w:val="ru-RU"/>
        </w:rPr>
        <w:t xml:space="preserve"> в качестве основного поставщика электро-светотехнической и кабельно-проводниковой продукции.</w:t>
      </w:r>
    </w:p>
    <w:bookmarkEnd w:id="0"/>
    <w:p w14:paraId="03213E4A" w14:textId="3EC83AAD" w:rsidR="00C62602" w:rsidRDefault="00C62602" w:rsidP="00C62602">
      <w:pPr>
        <w:spacing w:after="0" w:line="240" w:lineRule="auto"/>
        <w:rPr>
          <w:color w:val="0563C1"/>
          <w:u w:val="single"/>
        </w:rPr>
      </w:pPr>
      <w:r w:rsidRPr="00F307D1">
        <w:t xml:space="preserve">Сайт: </w:t>
      </w:r>
      <w:hyperlink r:id="rId8">
        <w:r w:rsidRPr="00F307D1">
          <w:rPr>
            <w:color w:val="0563C1"/>
            <w:u w:val="single"/>
          </w:rPr>
          <w:t>https://tdme.ru/</w:t>
        </w:r>
      </w:hyperlink>
    </w:p>
    <w:p w14:paraId="227FCF3F" w14:textId="0623E1BC" w:rsidR="00E643FE" w:rsidRDefault="00E643FE" w:rsidP="00C62602">
      <w:pPr>
        <w:spacing w:after="0" w:line="240" w:lineRule="auto"/>
        <w:rPr>
          <w:color w:val="0563C1"/>
          <w:u w:val="single"/>
        </w:rPr>
      </w:pPr>
    </w:p>
    <w:p w14:paraId="2D5F5A1A" w14:textId="77777777" w:rsidR="00AE12D2" w:rsidRPr="00AB071E" w:rsidRDefault="00AE12D2">
      <w:pPr>
        <w:pStyle w:val="a7"/>
        <w:spacing w:after="120" w:line="288" w:lineRule="auto"/>
        <w:ind w:right="135"/>
        <w:jc w:val="both"/>
        <w:rPr>
          <w:lang w:val="ru-RU"/>
        </w:rPr>
      </w:pPr>
    </w:p>
    <w:sectPr w:rsidR="00AE12D2" w:rsidRPr="00AB071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0" w:bottom="993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0885E" w14:textId="77777777" w:rsidR="004078E8" w:rsidRDefault="004078E8">
      <w:pPr>
        <w:spacing w:after="0" w:line="240" w:lineRule="auto"/>
      </w:pPr>
      <w:r>
        <w:separator/>
      </w:r>
    </w:p>
  </w:endnote>
  <w:endnote w:type="continuationSeparator" w:id="0">
    <w:p w14:paraId="7215D822" w14:textId="77777777" w:rsidR="004078E8" w:rsidRDefault="0040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C8C0" w14:textId="77777777" w:rsidR="00AE12D2" w:rsidRDefault="00AE12D2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36B6" w14:textId="77777777" w:rsidR="00AE12D2" w:rsidRDefault="00AE12D2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EC3AA" w14:textId="77777777" w:rsidR="004078E8" w:rsidRDefault="004078E8">
      <w:pPr>
        <w:spacing w:after="0" w:line="240" w:lineRule="auto"/>
      </w:pPr>
      <w:r>
        <w:separator/>
      </w:r>
    </w:p>
  </w:footnote>
  <w:footnote w:type="continuationSeparator" w:id="0">
    <w:p w14:paraId="05FA0B9B" w14:textId="77777777" w:rsidR="004078E8" w:rsidRDefault="0040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B6FF" w14:textId="6B717693" w:rsidR="00AE12D2" w:rsidRDefault="004D29B4">
    <w:pPr>
      <w:pStyle w:val="a4"/>
      <w:tabs>
        <w:tab w:val="clear" w:pos="9355"/>
        <w:tab w:val="right" w:pos="9329"/>
      </w:tabs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8E46C3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2FF57" w14:textId="77777777" w:rsidR="00AE12D2" w:rsidRDefault="004D29B4">
    <w:pPr>
      <w:pStyle w:val="a4"/>
      <w:tabs>
        <w:tab w:val="clear" w:pos="9355"/>
        <w:tab w:val="right" w:pos="932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19933D4" wp14:editId="1D6630DF">
          <wp:simplePos x="0" y="0"/>
          <wp:positionH relativeFrom="page">
            <wp:posOffset>1076958</wp:posOffset>
          </wp:positionH>
          <wp:positionV relativeFrom="page">
            <wp:posOffset>190499</wp:posOffset>
          </wp:positionV>
          <wp:extent cx="5943600" cy="506095"/>
          <wp:effectExtent l="0" t="0" r="0" b="0"/>
          <wp:wrapNone/>
          <wp:docPr id="1073741825" name="officeArt object" descr="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" descr="top"/>
                  <pic:cNvPicPr>
                    <a:picLocks noChangeAspect="1"/>
                  </pic:cNvPicPr>
                </pic:nvPicPr>
                <pic:blipFill>
                  <a:blip r:embed="rId1"/>
                  <a:srcRect b="57599"/>
                  <a:stretch>
                    <a:fillRect/>
                  </a:stretch>
                </pic:blipFill>
                <pic:spPr>
                  <a:xfrm>
                    <a:off x="0" y="0"/>
                    <a:ext cx="5943600" cy="506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46DA15E" wp14:editId="2CD4827E">
          <wp:simplePos x="0" y="0"/>
          <wp:positionH relativeFrom="page">
            <wp:posOffset>1086483</wp:posOffset>
          </wp:positionH>
          <wp:positionV relativeFrom="page">
            <wp:posOffset>10267950</wp:posOffset>
          </wp:positionV>
          <wp:extent cx="5934075" cy="228600"/>
          <wp:effectExtent l="0" t="0" r="0" b="0"/>
          <wp:wrapNone/>
          <wp:docPr id="1073741826" name="officeArt object" descr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2" descr="Рисунок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228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2"/>
    <w:rsid w:val="000D028D"/>
    <w:rsid w:val="001E607C"/>
    <w:rsid w:val="00217A42"/>
    <w:rsid w:val="002734E4"/>
    <w:rsid w:val="004078E8"/>
    <w:rsid w:val="004D0E5A"/>
    <w:rsid w:val="004D29B4"/>
    <w:rsid w:val="0050780A"/>
    <w:rsid w:val="0062791D"/>
    <w:rsid w:val="006D13C6"/>
    <w:rsid w:val="006E172B"/>
    <w:rsid w:val="00794C60"/>
    <w:rsid w:val="007A5B03"/>
    <w:rsid w:val="008267A1"/>
    <w:rsid w:val="008438B8"/>
    <w:rsid w:val="00866C33"/>
    <w:rsid w:val="008A67CE"/>
    <w:rsid w:val="008D1BF2"/>
    <w:rsid w:val="008E0331"/>
    <w:rsid w:val="008E46C3"/>
    <w:rsid w:val="0092165B"/>
    <w:rsid w:val="00A123A2"/>
    <w:rsid w:val="00A42E52"/>
    <w:rsid w:val="00A97D2A"/>
    <w:rsid w:val="00AB071E"/>
    <w:rsid w:val="00AC454D"/>
    <w:rsid w:val="00AE12D2"/>
    <w:rsid w:val="00AF0D77"/>
    <w:rsid w:val="00AF6B8B"/>
    <w:rsid w:val="00B92EC7"/>
    <w:rsid w:val="00BB355B"/>
    <w:rsid w:val="00BF6247"/>
    <w:rsid w:val="00C32833"/>
    <w:rsid w:val="00C43A9B"/>
    <w:rsid w:val="00C62602"/>
    <w:rsid w:val="00C761CA"/>
    <w:rsid w:val="00D5520D"/>
    <w:rsid w:val="00D70187"/>
    <w:rsid w:val="00E23797"/>
    <w:rsid w:val="00E266C8"/>
    <w:rsid w:val="00E643FE"/>
    <w:rsid w:val="00E90E17"/>
    <w:rsid w:val="00F368D7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5EE1"/>
  <w15:docId w15:val="{6C6D0AF3-4891-4F35-A707-192826F1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uiPriority w:val="1"/>
    <w:qFormat/>
    <w:pPr>
      <w:spacing w:after="160" w:line="259" w:lineRule="auto"/>
    </w:pPr>
    <w:rPr>
      <w:rFonts w:ascii="Verdana" w:hAnsi="Verdana" w:cs="Arial Unicode MS"/>
      <w:color w:val="000000"/>
      <w:u w:color="000000"/>
      <w:lang w:val="en-US"/>
    </w:rPr>
  </w:style>
  <w:style w:type="paragraph" w:styleId="a8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9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a5">
    <w:name w:val="Верхний колонтитул Знак"/>
    <w:basedOn w:val="a0"/>
    <w:link w:val="a4"/>
    <w:uiPriority w:val="99"/>
    <w:rsid w:val="00AB071E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m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ov@inside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EF3A-598D-45B5-94A3-FC6AC40C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buint</dc:creator>
  <cp:lastModifiedBy>buint</cp:lastModifiedBy>
  <cp:revision>5</cp:revision>
  <dcterms:created xsi:type="dcterms:W3CDTF">2022-09-22T15:03:00Z</dcterms:created>
  <dcterms:modified xsi:type="dcterms:W3CDTF">2022-09-23T14:15:00Z</dcterms:modified>
</cp:coreProperties>
</file>