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A3C9" w14:textId="153929C8" w:rsidR="00E37562" w:rsidRPr="00E37562" w:rsidRDefault="00E37562" w:rsidP="00E375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562">
        <w:rPr>
          <w:rFonts w:ascii="Times New Roman" w:hAnsi="Times New Roman" w:cs="Times New Roman"/>
          <w:b/>
          <w:bCs/>
          <w:sz w:val="24"/>
          <w:szCs w:val="24"/>
        </w:rPr>
        <w:t>Анализ российского рынка полиэтилена и полиэтиленовой продукции: итоги 2021 г., прогноз до 2025 г.</w:t>
      </w:r>
    </w:p>
    <w:p w14:paraId="0A46285F" w14:textId="77777777" w:rsidR="00E37562" w:rsidRPr="00E37562" w:rsidRDefault="00E37562" w:rsidP="00E3756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0876987" w14:textId="77777777" w:rsidR="00E37562" w:rsidRPr="00E37562" w:rsidRDefault="00E37562" w:rsidP="00E375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37562">
        <w:rPr>
          <w:rFonts w:ascii="Times New Roman" w:hAnsi="Times New Roman" w:cs="Times New Roman"/>
          <w:i/>
          <w:iCs/>
          <w:sz w:val="24"/>
          <w:szCs w:val="24"/>
        </w:rPr>
        <w:t>В декабре 2022 года исследовательская компания NeoAnalytics завершила проведение маркетингового исследования российского рынка полиэтилена и полиэтиленовой продукции.</w:t>
      </w:r>
    </w:p>
    <w:p w14:paraId="25E82F8B" w14:textId="77777777" w:rsidR="00E37562" w:rsidRPr="00E37562" w:rsidRDefault="00E37562" w:rsidP="00E37562">
      <w:pPr>
        <w:rPr>
          <w:rFonts w:ascii="Times New Roman" w:hAnsi="Times New Roman" w:cs="Times New Roman"/>
          <w:sz w:val="24"/>
          <w:szCs w:val="24"/>
        </w:rPr>
      </w:pPr>
    </w:p>
    <w:p w14:paraId="5774B69F" w14:textId="77777777" w:rsidR="00E37562" w:rsidRPr="00E37562" w:rsidRDefault="00E37562" w:rsidP="00E37562">
      <w:pPr>
        <w:rPr>
          <w:rFonts w:ascii="Times New Roman" w:hAnsi="Times New Roman" w:cs="Times New Roman"/>
          <w:sz w:val="24"/>
          <w:szCs w:val="24"/>
        </w:rPr>
      </w:pPr>
      <w:r w:rsidRPr="00E37562">
        <w:rPr>
          <w:rFonts w:ascii="Times New Roman" w:hAnsi="Times New Roman" w:cs="Times New Roman"/>
          <w:sz w:val="24"/>
          <w:szCs w:val="24"/>
        </w:rPr>
        <w:t>В ходе исследования, проведенного NeoAnalytics на тему «Российский рынок полиэтилена и полиэтиленовой продукции: итоги 2021 г., прогноз до 2025 г.», выяснилось, что общий объем производства полиэтилена (ПЭ) в России в 2021 г. составил чуть более 3300 тыс. тонн и увеличился на 18,1%. За последние 5-7 лет объемы производства полиэтилена в России увеличились примерно на 40%. За данный период произошло расширение марочного ассортимента отечественных производителей. В результате чего сократился импорт некоторых марок ПЭ.</w:t>
      </w:r>
    </w:p>
    <w:p w14:paraId="338EC469" w14:textId="77777777" w:rsidR="00E37562" w:rsidRPr="00E37562" w:rsidRDefault="00E37562" w:rsidP="00E37562">
      <w:pPr>
        <w:rPr>
          <w:rFonts w:ascii="Times New Roman" w:hAnsi="Times New Roman" w:cs="Times New Roman"/>
          <w:sz w:val="24"/>
          <w:szCs w:val="24"/>
        </w:rPr>
      </w:pPr>
    </w:p>
    <w:p w14:paraId="0711B109" w14:textId="77777777" w:rsidR="00E37562" w:rsidRPr="00E37562" w:rsidRDefault="00E37562" w:rsidP="00E37562">
      <w:pPr>
        <w:rPr>
          <w:rFonts w:ascii="Times New Roman" w:hAnsi="Times New Roman" w:cs="Times New Roman"/>
          <w:sz w:val="24"/>
          <w:szCs w:val="24"/>
        </w:rPr>
      </w:pPr>
      <w:r w:rsidRPr="00E37562">
        <w:rPr>
          <w:rFonts w:ascii="Times New Roman" w:hAnsi="Times New Roman" w:cs="Times New Roman"/>
          <w:sz w:val="24"/>
          <w:szCs w:val="24"/>
        </w:rPr>
        <w:t>Объем импорта ПЭ в Россию по итогам 2021 г. составил более 600 тыс. тонн и увеличился на 4,3%. Основные поставщики - Беларусь, Финляндия, Германия, Республика Корея и др. (более 70% поставок).</w:t>
      </w:r>
    </w:p>
    <w:p w14:paraId="4CC16549" w14:textId="77777777" w:rsidR="00E37562" w:rsidRPr="00E37562" w:rsidRDefault="00E37562" w:rsidP="00E37562">
      <w:pPr>
        <w:rPr>
          <w:rFonts w:ascii="Times New Roman" w:hAnsi="Times New Roman" w:cs="Times New Roman"/>
          <w:sz w:val="24"/>
          <w:szCs w:val="24"/>
        </w:rPr>
      </w:pPr>
    </w:p>
    <w:p w14:paraId="32577225" w14:textId="1C0B98EB" w:rsidR="00E37562" w:rsidRPr="00E37562" w:rsidRDefault="00E37562" w:rsidP="00E37562">
      <w:pPr>
        <w:rPr>
          <w:rFonts w:ascii="Times New Roman" w:hAnsi="Times New Roman" w:cs="Times New Roman"/>
          <w:sz w:val="24"/>
          <w:szCs w:val="24"/>
        </w:rPr>
      </w:pPr>
      <w:r w:rsidRPr="00E37562">
        <w:rPr>
          <w:rFonts w:ascii="Times New Roman" w:hAnsi="Times New Roman" w:cs="Times New Roman"/>
          <w:sz w:val="24"/>
          <w:szCs w:val="24"/>
        </w:rPr>
        <w:t xml:space="preserve">Объем экспорта ПЭ по итогам 2021 г. был зафиксирован на </w:t>
      </w:r>
      <w:r w:rsidRPr="00E37562">
        <w:rPr>
          <w:rFonts w:ascii="Times New Roman" w:hAnsi="Times New Roman" w:cs="Times New Roman"/>
          <w:sz w:val="24"/>
          <w:szCs w:val="24"/>
        </w:rPr>
        <w:t>уровне более</w:t>
      </w:r>
      <w:r w:rsidRPr="00E37562">
        <w:rPr>
          <w:rFonts w:ascii="Times New Roman" w:hAnsi="Times New Roman" w:cs="Times New Roman"/>
          <w:sz w:val="24"/>
          <w:szCs w:val="24"/>
        </w:rPr>
        <w:t xml:space="preserve"> 1</w:t>
      </w:r>
      <w:r w:rsidRPr="00E37562">
        <w:rPr>
          <w:rFonts w:ascii="Times New Roman" w:hAnsi="Times New Roman" w:cs="Times New Roman"/>
          <w:sz w:val="24"/>
          <w:szCs w:val="24"/>
        </w:rPr>
        <w:t xml:space="preserve"> </w:t>
      </w:r>
      <w:r w:rsidRPr="00E37562">
        <w:rPr>
          <w:rFonts w:ascii="Times New Roman" w:hAnsi="Times New Roman" w:cs="Times New Roman"/>
          <w:sz w:val="24"/>
          <w:szCs w:val="24"/>
        </w:rPr>
        <w:t>000 тыс. тонн и вырос на 26,3%. Приоритетными направлениями российского экспорта являются Китай, Казахстан, Украина, Беларусь и др. (более 60% поставок).</w:t>
      </w:r>
    </w:p>
    <w:p w14:paraId="5FC2BA00" w14:textId="77777777" w:rsidR="00E37562" w:rsidRPr="00E37562" w:rsidRDefault="00E37562" w:rsidP="00E37562">
      <w:pPr>
        <w:rPr>
          <w:rFonts w:ascii="Times New Roman" w:hAnsi="Times New Roman" w:cs="Times New Roman"/>
          <w:sz w:val="24"/>
          <w:szCs w:val="24"/>
        </w:rPr>
      </w:pPr>
    </w:p>
    <w:p w14:paraId="4C66738E" w14:textId="77777777" w:rsidR="00E37562" w:rsidRPr="00E37562" w:rsidRDefault="00E37562" w:rsidP="00E37562">
      <w:pPr>
        <w:rPr>
          <w:rFonts w:ascii="Times New Roman" w:hAnsi="Times New Roman" w:cs="Times New Roman"/>
          <w:sz w:val="24"/>
          <w:szCs w:val="24"/>
        </w:rPr>
      </w:pPr>
      <w:r w:rsidRPr="00E37562">
        <w:rPr>
          <w:rFonts w:ascii="Times New Roman" w:hAnsi="Times New Roman" w:cs="Times New Roman"/>
          <w:sz w:val="24"/>
          <w:szCs w:val="24"/>
        </w:rPr>
        <w:t xml:space="preserve">По итогам 2021 г. Россия стала чистым экспортером двух самых популярных видов полиэтилена — линейного полиэтилена низкой плотности и полиэтилена низкого давления. </w:t>
      </w:r>
    </w:p>
    <w:p w14:paraId="116BFB76" w14:textId="77777777" w:rsidR="00E37562" w:rsidRPr="00E37562" w:rsidRDefault="00E37562" w:rsidP="00E37562">
      <w:pPr>
        <w:rPr>
          <w:rFonts w:ascii="Times New Roman" w:hAnsi="Times New Roman" w:cs="Times New Roman"/>
          <w:sz w:val="24"/>
          <w:szCs w:val="24"/>
        </w:rPr>
      </w:pPr>
    </w:p>
    <w:p w14:paraId="769A8E6B" w14:textId="77777777" w:rsidR="00E37562" w:rsidRPr="00E37562" w:rsidRDefault="00E37562" w:rsidP="00E37562">
      <w:pPr>
        <w:rPr>
          <w:rFonts w:ascii="Times New Roman" w:hAnsi="Times New Roman" w:cs="Times New Roman"/>
          <w:sz w:val="24"/>
          <w:szCs w:val="24"/>
        </w:rPr>
      </w:pPr>
      <w:r w:rsidRPr="00E37562">
        <w:rPr>
          <w:rFonts w:ascii="Times New Roman" w:hAnsi="Times New Roman" w:cs="Times New Roman"/>
          <w:sz w:val="24"/>
          <w:szCs w:val="24"/>
        </w:rPr>
        <w:t>Поставки их за рубеж превысили импорт. Это стало благодаря запуску завода «Сибур</w:t>
      </w:r>
      <w:proofErr w:type="gramStart"/>
      <w:r w:rsidRPr="00E37562">
        <w:rPr>
          <w:rFonts w:ascii="Times New Roman" w:hAnsi="Times New Roman" w:cs="Times New Roman"/>
          <w:sz w:val="24"/>
          <w:szCs w:val="24"/>
        </w:rPr>
        <w:t>»,  и</w:t>
      </w:r>
      <w:proofErr w:type="gramEnd"/>
      <w:r w:rsidRPr="00E37562">
        <w:rPr>
          <w:rFonts w:ascii="Times New Roman" w:hAnsi="Times New Roman" w:cs="Times New Roman"/>
          <w:sz w:val="24"/>
          <w:szCs w:val="24"/>
        </w:rPr>
        <w:t xml:space="preserve"> росту поставок за рубеж.</w:t>
      </w:r>
    </w:p>
    <w:p w14:paraId="225693B0" w14:textId="77777777" w:rsidR="00E37562" w:rsidRPr="00E37562" w:rsidRDefault="00E37562" w:rsidP="00E37562">
      <w:pPr>
        <w:rPr>
          <w:rFonts w:ascii="Times New Roman" w:hAnsi="Times New Roman" w:cs="Times New Roman"/>
          <w:sz w:val="24"/>
          <w:szCs w:val="24"/>
        </w:rPr>
      </w:pPr>
    </w:p>
    <w:p w14:paraId="6E6C814E" w14:textId="77777777" w:rsidR="00E37562" w:rsidRPr="00E37562" w:rsidRDefault="00E37562" w:rsidP="00E37562">
      <w:pPr>
        <w:rPr>
          <w:rFonts w:ascii="Times New Roman" w:hAnsi="Times New Roman" w:cs="Times New Roman"/>
          <w:sz w:val="24"/>
          <w:szCs w:val="24"/>
        </w:rPr>
      </w:pPr>
      <w:r w:rsidRPr="00E37562">
        <w:rPr>
          <w:rFonts w:ascii="Times New Roman" w:hAnsi="Times New Roman" w:cs="Times New Roman"/>
          <w:sz w:val="24"/>
          <w:szCs w:val="24"/>
        </w:rPr>
        <w:t>Основными потребителями ПЭ в России являются производители пленочной продукции (более 56%) и производители ПЭ труб (более 16%).</w:t>
      </w:r>
    </w:p>
    <w:p w14:paraId="53A97A48" w14:textId="77777777" w:rsidR="00E37562" w:rsidRPr="00E37562" w:rsidRDefault="00E37562" w:rsidP="00E37562">
      <w:pPr>
        <w:rPr>
          <w:rFonts w:ascii="Times New Roman" w:hAnsi="Times New Roman" w:cs="Times New Roman"/>
          <w:sz w:val="24"/>
          <w:szCs w:val="24"/>
        </w:rPr>
      </w:pPr>
    </w:p>
    <w:p w14:paraId="27C4FA31" w14:textId="77777777" w:rsidR="00E37562" w:rsidRPr="00E37562" w:rsidRDefault="00E37562" w:rsidP="00E37562">
      <w:pPr>
        <w:rPr>
          <w:rFonts w:ascii="Times New Roman" w:hAnsi="Times New Roman" w:cs="Times New Roman"/>
          <w:sz w:val="24"/>
          <w:szCs w:val="24"/>
        </w:rPr>
      </w:pPr>
      <w:r w:rsidRPr="00E37562">
        <w:rPr>
          <w:rFonts w:ascii="Times New Roman" w:hAnsi="Times New Roman" w:cs="Times New Roman"/>
          <w:sz w:val="24"/>
          <w:szCs w:val="24"/>
        </w:rPr>
        <w:t>Данный отчет является продуктом интеллектуальной собственностью исследовательской компании NeoAnalytics.</w:t>
      </w:r>
    </w:p>
    <w:p w14:paraId="4ABF0211" w14:textId="77777777" w:rsidR="00E37562" w:rsidRPr="00E37562" w:rsidRDefault="00E37562" w:rsidP="00E37562">
      <w:pPr>
        <w:rPr>
          <w:rFonts w:ascii="Times New Roman" w:hAnsi="Times New Roman" w:cs="Times New Roman"/>
          <w:sz w:val="24"/>
          <w:szCs w:val="24"/>
        </w:rPr>
      </w:pPr>
    </w:p>
    <w:p w14:paraId="1CBF1EF8" w14:textId="77777777" w:rsidR="00E37562" w:rsidRPr="00E37562" w:rsidRDefault="00E37562" w:rsidP="00E37562">
      <w:pPr>
        <w:rPr>
          <w:rFonts w:ascii="Times New Roman" w:hAnsi="Times New Roman" w:cs="Times New Roman"/>
          <w:sz w:val="24"/>
          <w:szCs w:val="24"/>
        </w:rPr>
      </w:pPr>
      <w:r w:rsidRPr="00E37562">
        <w:rPr>
          <w:rFonts w:ascii="Times New Roman" w:hAnsi="Times New Roman" w:cs="Times New Roman"/>
          <w:sz w:val="24"/>
          <w:szCs w:val="24"/>
        </w:rPr>
        <w:t>Более подробно с результатами исследования можно ознакомиться на официальном сайте www.neoanalytics.ru</w:t>
      </w:r>
    </w:p>
    <w:p w14:paraId="610C0799" w14:textId="77777777" w:rsidR="00E37562" w:rsidRPr="00E37562" w:rsidRDefault="00E37562">
      <w:pPr>
        <w:rPr>
          <w:rFonts w:ascii="Times New Roman" w:hAnsi="Times New Roman" w:cs="Times New Roman"/>
          <w:sz w:val="24"/>
          <w:szCs w:val="24"/>
        </w:rPr>
      </w:pPr>
    </w:p>
    <w:sectPr w:rsidR="00E37562" w:rsidRPr="00E3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62"/>
    <w:rsid w:val="00E3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CAF7"/>
  <w15:chartTrackingRefBased/>
  <w15:docId w15:val="{4393263C-9075-4CCD-8446-B8C19D87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2023-02-07T07:11:00Z</dcterms:created>
  <dcterms:modified xsi:type="dcterms:W3CDTF">2023-02-07T07:12:00Z</dcterms:modified>
</cp:coreProperties>
</file>