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B194" w14:textId="77777777" w:rsidR="001B3A5E" w:rsidRPr="001B3A5E" w:rsidRDefault="001B3A5E" w:rsidP="001B3A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A5E">
        <w:rPr>
          <w:rFonts w:ascii="Times New Roman" w:hAnsi="Times New Roman" w:cs="Times New Roman"/>
          <w:b/>
          <w:bCs/>
          <w:sz w:val="24"/>
          <w:szCs w:val="24"/>
        </w:rPr>
        <w:t>Российский рынок эквайринга: итоги 2022 г., прогноз до 2027 г.</w:t>
      </w:r>
    </w:p>
    <w:p w14:paraId="09567EDE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</w:p>
    <w:p w14:paraId="564DC71D" w14:textId="77777777" w:rsidR="001B3A5E" w:rsidRPr="001B3A5E" w:rsidRDefault="001B3A5E" w:rsidP="001B3A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3A5E">
        <w:rPr>
          <w:rFonts w:ascii="Times New Roman" w:hAnsi="Times New Roman" w:cs="Times New Roman"/>
          <w:i/>
          <w:iCs/>
          <w:sz w:val="24"/>
          <w:szCs w:val="24"/>
        </w:rPr>
        <w:t>В феврале 2023 года исследовательская компания NeoAnalytics завершила проведение маркетингового исследования российского рынка эквайринга.</w:t>
      </w:r>
    </w:p>
    <w:p w14:paraId="00DC93C8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</w:p>
    <w:p w14:paraId="291E16E1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 xml:space="preserve">Настоящее исследование посвящено анализу рынка эквайринга в России в ретроспективе. Основной целью исследования является предоставление объективной оценки конъюнктуры и перспектив дальнейшего развития данного рынка в России. </w:t>
      </w:r>
    </w:p>
    <w:p w14:paraId="02608A90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</w:p>
    <w:p w14:paraId="4CB0669A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В отчете представлены проанализированные итоги рынка эквайринга в России в 2022 г., а также построены прогнозы до 2027 г.</w:t>
      </w:r>
    </w:p>
    <w:p w14:paraId="265D118E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</w:p>
    <w:p w14:paraId="5B774116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Детальным образом проанализированы, такие данные, как:</w:t>
      </w:r>
    </w:p>
    <w:p w14:paraId="0908D44B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•</w:t>
      </w:r>
      <w:r w:rsidRPr="001B3A5E">
        <w:rPr>
          <w:rFonts w:ascii="Times New Roman" w:hAnsi="Times New Roman" w:cs="Times New Roman"/>
          <w:sz w:val="24"/>
          <w:szCs w:val="24"/>
        </w:rPr>
        <w:tab/>
        <w:t xml:space="preserve">конъюнктура рынка эквайринга в России с учетом динамики макроэкономических показателей; </w:t>
      </w:r>
    </w:p>
    <w:p w14:paraId="32C4F8EB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•</w:t>
      </w:r>
      <w:r w:rsidRPr="001B3A5E">
        <w:rPr>
          <w:rFonts w:ascii="Times New Roman" w:hAnsi="Times New Roman" w:cs="Times New Roman"/>
          <w:sz w:val="24"/>
          <w:szCs w:val="24"/>
        </w:rPr>
        <w:tab/>
        <w:t>основные показатели российского рынка эквайринга;</w:t>
      </w:r>
    </w:p>
    <w:p w14:paraId="498E27A3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•</w:t>
      </w:r>
      <w:r w:rsidRPr="001B3A5E">
        <w:rPr>
          <w:rFonts w:ascii="Times New Roman" w:hAnsi="Times New Roman" w:cs="Times New Roman"/>
          <w:sz w:val="24"/>
          <w:szCs w:val="24"/>
        </w:rPr>
        <w:tab/>
        <w:t xml:space="preserve">основные участники рынка эквайринга (показатели деятельности); </w:t>
      </w:r>
    </w:p>
    <w:p w14:paraId="6D937101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•</w:t>
      </w:r>
      <w:r w:rsidRPr="001B3A5E">
        <w:rPr>
          <w:rFonts w:ascii="Times New Roman" w:hAnsi="Times New Roman" w:cs="Times New Roman"/>
          <w:sz w:val="24"/>
          <w:szCs w:val="24"/>
        </w:rPr>
        <w:tab/>
        <w:t xml:space="preserve">тенденции и перспективы развития рынка эквайринга в России до 2027 г. </w:t>
      </w:r>
    </w:p>
    <w:p w14:paraId="4C631691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</w:p>
    <w:p w14:paraId="1065A566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Данное исследование предназначено для ряда специалистов:</w:t>
      </w:r>
    </w:p>
    <w:p w14:paraId="26870309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•</w:t>
      </w:r>
      <w:r w:rsidRPr="001B3A5E">
        <w:rPr>
          <w:rFonts w:ascii="Times New Roman" w:hAnsi="Times New Roman" w:cs="Times New Roman"/>
          <w:sz w:val="24"/>
          <w:szCs w:val="24"/>
        </w:rPr>
        <w:tab/>
        <w:t xml:space="preserve">маркетологи; </w:t>
      </w:r>
    </w:p>
    <w:p w14:paraId="248C46F7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•</w:t>
      </w:r>
      <w:r w:rsidRPr="001B3A5E">
        <w:rPr>
          <w:rFonts w:ascii="Times New Roman" w:hAnsi="Times New Roman" w:cs="Times New Roman"/>
          <w:sz w:val="24"/>
          <w:szCs w:val="24"/>
        </w:rPr>
        <w:tab/>
        <w:t>аналитики-маркетологи;</w:t>
      </w:r>
    </w:p>
    <w:p w14:paraId="348B2B47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•</w:t>
      </w:r>
      <w:r w:rsidRPr="001B3A5E">
        <w:rPr>
          <w:rFonts w:ascii="Times New Roman" w:hAnsi="Times New Roman" w:cs="Times New Roman"/>
          <w:sz w:val="24"/>
          <w:szCs w:val="24"/>
        </w:rPr>
        <w:tab/>
        <w:t>специалисты по проведению маркетинговых исследований;</w:t>
      </w:r>
    </w:p>
    <w:p w14:paraId="5A080973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•</w:t>
      </w:r>
      <w:r w:rsidRPr="001B3A5E">
        <w:rPr>
          <w:rFonts w:ascii="Times New Roman" w:hAnsi="Times New Roman" w:cs="Times New Roman"/>
          <w:sz w:val="24"/>
          <w:szCs w:val="24"/>
        </w:rPr>
        <w:tab/>
        <w:t>менеджеры по продажам;</w:t>
      </w:r>
    </w:p>
    <w:p w14:paraId="015F65A3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•</w:t>
      </w:r>
      <w:r w:rsidRPr="001B3A5E">
        <w:rPr>
          <w:rFonts w:ascii="Times New Roman" w:hAnsi="Times New Roman" w:cs="Times New Roman"/>
          <w:sz w:val="24"/>
          <w:szCs w:val="24"/>
        </w:rPr>
        <w:tab/>
        <w:t>директора по маркетингу;</w:t>
      </w:r>
    </w:p>
    <w:p w14:paraId="43CABE0F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•</w:t>
      </w:r>
      <w:r w:rsidRPr="001B3A5E">
        <w:rPr>
          <w:rFonts w:ascii="Times New Roman" w:hAnsi="Times New Roman" w:cs="Times New Roman"/>
          <w:sz w:val="24"/>
          <w:szCs w:val="24"/>
        </w:rPr>
        <w:tab/>
        <w:t>коммерческие директора.</w:t>
      </w:r>
    </w:p>
    <w:p w14:paraId="53EA26DB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</w:p>
    <w:p w14:paraId="58E189F5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Данный отчет является продуктом интеллектуальной собственностью исследовательской компании NeoAnalytics.</w:t>
      </w:r>
    </w:p>
    <w:p w14:paraId="5F765325" w14:textId="77777777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</w:p>
    <w:p w14:paraId="27C2EF4A" w14:textId="596095CC" w:rsidR="001B3A5E" w:rsidRPr="001B3A5E" w:rsidRDefault="001B3A5E" w:rsidP="001B3A5E">
      <w:pPr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sectPr w:rsidR="001B3A5E" w:rsidRPr="001B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5E"/>
    <w:rsid w:val="001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B2B0"/>
  <w15:chartTrackingRefBased/>
  <w15:docId w15:val="{0D400037-D3E1-46A5-901D-3E0381C9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2023-02-14T07:48:00Z</dcterms:created>
  <dcterms:modified xsi:type="dcterms:W3CDTF">2023-02-14T07:49:00Z</dcterms:modified>
</cp:coreProperties>
</file>