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72" y="3264"/>
                      <wp:lineTo x="1320" y="7137"/>
                      <wp:lineTo x="1457" y="15653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ID="Надпись 4" stroked="f" style="position:absolute;margin-left:-22.3pt;margin-top:1.1pt;width:505.15pt;height:114.6pt">
                  <w10:wrap type="none"/>
                  <v:fill o:detectmouseclick="t" on="false"/>
                  <v:stroke color="#3465a4" joinstyle="round" endcap="flat"/>
                </v:shape>
              </w:pic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и общественных связей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www.rosenergoatom.ru</w:t>
            </w:r>
          </w:p>
        </w:tc>
      </w:tr>
    </w:tbl>
    <w:p>
      <w:pPr>
        <w:pStyle w:val="Normal"/>
        <w:spacing w:before="80" w:after="80"/>
        <w:jc w:val="both"/>
        <w:rPr>
          <w:b/>
          <w:b/>
          <w:bCs/>
        </w:rPr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jc w:val="both"/>
        <w:rPr>
          <w:rFonts w:eastAsia="Rosatom"/>
          <w:b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15.02.2023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строительную площадку Курской АЭС-2 доставлены внутрикорпусные устройства для реактора энергоблока №1</w:t>
      </w:r>
    </w:p>
    <w:p>
      <w:pPr>
        <w:pStyle w:val="NormalWeb"/>
        <w:shd w:val="clear" w:color="auto" w:fill="FFFFFF"/>
        <w:spacing w:beforeAutospacing="0" w:before="280" w:afterAutospacing="0" w:after="120"/>
        <w:ind w:hanging="0"/>
        <w:jc w:val="both"/>
        <w:rPr>
          <w:rFonts w:ascii="Arial" w:hAnsi="Arial" w:cs="Arial"/>
          <w:color w:val="0A0A0A"/>
        </w:rPr>
      </w:pPr>
      <w:r>
        <w:rPr>
          <w:rFonts w:cs="Arial" w:ascii="Arial" w:hAnsi="Arial"/>
        </w:rPr>
        <w:t>Внутрикорпусные устройства</w:t>
      </w:r>
      <w:r>
        <w:rPr>
          <w:rFonts w:cs="Arial" w:ascii="Arial" w:hAnsi="Arial"/>
          <w:color w:val="0A0A0A"/>
        </w:rPr>
        <w:t> включают в себя 10-метровую шахту внутрикорпусную, выгородку и блок защитных труб. Все элементы изготовлены Волгодонским филиалом АО «АЭМ-технологии» (входит в машиностроительный дивизион Росатома – Атомэнергомаш).</w:t>
      </w:r>
    </w:p>
    <w:p>
      <w:pPr>
        <w:pStyle w:val="NormalWeb"/>
        <w:shd w:val="clear" w:color="auto" w:fill="FFFFFF"/>
        <w:spacing w:beforeAutospacing="0" w:before="280" w:afterAutospacing="0" w:after="120"/>
        <w:ind w:hanging="0"/>
        <w:jc w:val="both"/>
        <w:rPr>
          <w:rFonts w:ascii="Arial" w:hAnsi="Arial" w:cs="Arial"/>
          <w:color w:val="0A0A0A"/>
        </w:rPr>
      </w:pPr>
      <w:r>
        <w:rPr>
          <w:rFonts w:cs="Arial" w:ascii="Arial" w:hAnsi="Arial"/>
          <w:color w:val="0A0A0A"/>
        </w:rPr>
        <w:t>Все конструкции будут помещены внутрь корпуса атомного реактора подобно матрешке с высокой точностью, после чего их герметично закроют крышкой реактора. Именно внутрикорпусные устройства осуществляют разделение потоков теплоносителя в реакторе, в них размещаются тепловыделяющие сборки, а также через них проходят каналы системы управления и защиты реактора.</w:t>
      </w:r>
    </w:p>
    <w:p>
      <w:pPr>
        <w:pStyle w:val="NormalWeb"/>
        <w:shd w:val="clear" w:color="auto" w:fill="FFFFFF"/>
        <w:spacing w:beforeAutospacing="0" w:before="280" w:afterAutospacing="0" w:after="120"/>
        <w:ind w:hanging="0"/>
        <w:jc w:val="both"/>
        <w:rPr>
          <w:rFonts w:ascii="Arial" w:hAnsi="Arial" w:cs="Arial"/>
          <w:color w:val="0A0A0A"/>
        </w:rPr>
      </w:pPr>
      <w:r>
        <w:rPr>
          <w:rFonts w:cs="Arial" w:ascii="Arial" w:hAnsi="Arial"/>
          <w:color w:val="0A0A0A"/>
        </w:rPr>
        <w:t xml:space="preserve">«Все элементы внутрикорпусных устройств предварительно прошли на заводе-изготовителе контрольную сборку со штатным корпусом реактора ВВЭР-ТОИ. Внутрь поочередно опускали 10-метровую внутрикорпусную шахту, весом 73 тонны, выгородку – 38 тонн и блок защитных труб – 68 тонн. Далее атомный реактор закрывали штатной крышкой. Общий вес изделия в сборе составил 603 тонны. При контрольной сборке все элементы полностью повторяют свое проектное положение. Это значительно сокращает сроки сборки и упрощает монтаж реакторной установки уже непосредственно на площадке строительства АЭС», – пояснил исполняющий обязанности директора Курской АЭС </w:t>
      </w:r>
      <w:r>
        <w:rPr>
          <w:rFonts w:cs="Arial" w:ascii="Arial" w:hAnsi="Arial"/>
          <w:b/>
          <w:color w:val="0A0A0A"/>
        </w:rPr>
        <w:t>Андрей Ошарин</w:t>
      </w:r>
      <w:r>
        <w:rPr>
          <w:rFonts w:cs="Arial" w:ascii="Arial" w:hAnsi="Arial"/>
          <w:color w:val="0A0A0A"/>
        </w:rPr>
        <w:t>.</w:t>
      </w:r>
    </w:p>
    <w:p>
      <w:pPr>
        <w:pStyle w:val="NormalWeb"/>
        <w:shd w:val="clear" w:color="auto" w:fill="FFFFFF"/>
        <w:spacing w:beforeAutospacing="0" w:before="280" w:afterAutospacing="0" w:after="120"/>
        <w:ind w:hanging="0"/>
        <w:jc w:val="both"/>
        <w:rPr>
          <w:rFonts w:ascii="Arial" w:hAnsi="Arial" w:cs="Arial"/>
          <w:color w:val="0A0A0A"/>
        </w:rPr>
      </w:pPr>
      <w:r>
        <w:rPr>
          <w:rFonts w:cs="Arial" w:ascii="Arial" w:hAnsi="Arial"/>
          <w:color w:val="0A0A0A"/>
        </w:rPr>
        <w:t>Реактор – изделие первого класса безопасности. Он представляет собой вертикальный цилиндрический корпус с эллиптическим днищем. Внутри корпуса размещается активная зона и внутрикорпусные устройства. Сверху реактор герметично закрыт крышкой с установленными на ней приводами механизмов и органов регулирования и защиты реактора и патрубками для вывода кабелей датчиков внутриреакторного контроля.</w:t>
      </w:r>
    </w:p>
    <w:p>
      <w:pPr>
        <w:pStyle w:val="Textbody"/>
        <w:spacing w:lineRule="auto" w:line="264" w:before="0" w:after="60"/>
        <w:ind w:left="1" w:hanging="0"/>
        <w:rPr>
          <w:rFonts w:ascii="Arial" w:hAnsi="Arial" w:eastAsia="Arial" w:cs="Arial"/>
          <w:kern w:val="0"/>
          <w:sz w:val="24"/>
          <w:lang w:eastAsia="en-US"/>
        </w:rPr>
      </w:pPr>
      <w:r>
        <w:rPr>
          <w:rFonts w:eastAsia="Cambria" w:cs="Arial" w:ascii="Arial" w:hAnsi="Arial" w:eastAsiaTheme="minorHAnsi"/>
          <w:kern w:val="0"/>
          <w:sz w:val="24"/>
          <w:lang w:eastAsia="en-US"/>
        </w:rPr>
        <w:t>Выпо</w:t>
      </w:r>
      <w:r>
        <w:rPr>
          <w:rFonts w:eastAsia="Arial" w:cs="Arial" w:ascii="Arial" w:hAnsi="Arial"/>
          <w:kern w:val="0"/>
          <w:sz w:val="24"/>
          <w:lang w:eastAsia="en-US"/>
        </w:rPr>
        <w:t>лнение данного события еще на шаг приближает этап физического пуска энергоблока Курской АЭС-2. Сооружение станции замещения имеет стратегическое значение для атомной отрасли России. Энергетика является основой поступательного социально-экономического развития страны, снабжения промышленности и граждан. Россия продолжает модернизацию энергокомплекса, в том числе, атомных мощностей. Эта работа осуществляется с учетом современных трендов цифровизации и замещения импортного оборудования. Доля низкоуглеродной электрогенерации в российской энергетике составляет уже около 40%. В перспективе, с учетом увеличения доли атомной генерации, она будет только расти.</w:t>
      </w:r>
    </w:p>
    <w:p>
      <w:pPr>
        <w:pStyle w:val="NormalWeb"/>
        <w:shd w:val="clear" w:color="auto" w:fill="FFFFFF"/>
        <w:spacing w:beforeAutospacing="0" w:before="280" w:afterAutospacing="0" w:after="120"/>
        <w:ind w:hanging="0"/>
        <w:jc w:val="both"/>
        <w:rPr>
          <w:rFonts w:ascii="Arial" w:hAnsi="Arial" w:cs="Arial"/>
          <w:color w:val="0A0A0A"/>
        </w:rPr>
      </w:pPr>
      <w:r>
        <w:rPr>
          <w:rFonts w:cs="Arial" w:ascii="Arial" w:hAnsi="Arial"/>
          <w:color w:val="0A0A0A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pacing w:before="0" w:after="120"/>
        <w:ind w:left="0" w:hanging="0"/>
        <w:jc w:val="righ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</w:rPr>
        <w:t>Управление информации и общественных связей Курской АЭС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i/>
          <w:sz w:val="24"/>
          <w:szCs w:val="24"/>
        </w:rPr>
        <w:t>Фотографии предоставлены пресс-службой завода Атоммаш.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PT Astra Serif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a"/>
    <w:qFormat/>
    <w:rsid w:val="00c51143"/>
    <w:rPr/>
  </w:style>
  <w:style w:type="character" w:styleId="Style15" w:customStyle="1">
    <w:name w:val="Красная строка Знак"/>
    <w:basedOn w:val="Style14"/>
    <w:link w:val="af8"/>
    <w:uiPriority w:val="99"/>
    <w:semiHidden/>
    <w:qFormat/>
    <w:rsid w:val="00c51143"/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character" w:styleId="Style16" w:customStyle="1">
    <w:name w:val="Основной текст с отступом Знак"/>
    <w:basedOn w:val="DefaultParagraphFont"/>
    <w:link w:val="afa"/>
    <w:uiPriority w:val="99"/>
    <w:semiHidden/>
    <w:qFormat/>
    <w:rsid w:val="00171cb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b"/>
    <w:rsid w:val="00c17646"/>
    <w:pPr>
      <w:spacing w:before="0" w:after="140"/>
    </w:pPr>
    <w:rPr/>
  </w:style>
  <w:style w:type="paragraph" w:styleId="Style19">
    <w:name w:val="List"/>
    <w:basedOn w:val="Style18"/>
    <w:rsid w:val="00c17646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8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22">
    <w:name w:val="Title"/>
    <w:basedOn w:val="Normal"/>
    <w:next w:val="Style18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3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BodyTextIndent">
    <w:name w:val="Body Text Indent"/>
    <w:basedOn w:val="Style18"/>
    <w:link w:val="af9"/>
    <w:uiPriority w:val="99"/>
    <w:semiHidden/>
    <w:unhideWhenUsed/>
    <w:qFormat/>
    <w:rsid w:val="00c51143"/>
    <w:pPr>
      <w:spacing w:lineRule="auto" w:line="259" w:before="0" w:after="160"/>
      <w:ind w:firstLine="360"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andard" w:customStyle="1">
    <w:name w:val="Standard"/>
    <w:qFormat/>
    <w:rsid w:val="00c51143"/>
    <w:pPr>
      <w:widowControl/>
      <w:suppressAutoHyphens w:val="true"/>
      <w:bidi w:val="0"/>
      <w:spacing w:before="0" w:after="0"/>
      <w:jc w:val="left"/>
    </w:pPr>
    <w:rPr>
      <w:rFonts w:ascii="PT Astra Serif;Arial" w:hAnsi="PT Astra Serif;Arial" w:eastAsia="PT Astra Serif;Arial" w:cs="PT Astra Serif;Arial"/>
      <w:color w:val="000000"/>
      <w:kern w:val="2"/>
      <w:sz w:val="28"/>
      <w:szCs w:val="24"/>
      <w:lang w:val="en-GB" w:eastAsia="zh-CN" w:bidi="ar-SA"/>
    </w:rPr>
  </w:style>
  <w:style w:type="paragraph" w:styleId="Style25">
    <w:name w:val="Body Text Indent"/>
    <w:basedOn w:val="Normal"/>
    <w:link w:val="afb"/>
    <w:uiPriority w:val="99"/>
    <w:semiHidden/>
    <w:unhideWhenUsed/>
    <w:rsid w:val="00171cb9"/>
    <w:pPr>
      <w:spacing w:before="0" w:after="120"/>
      <w:ind w:left="283" w:hanging="0"/>
    </w:pPr>
    <w:rPr/>
  </w:style>
  <w:style w:type="paragraph" w:styleId="Textbody" w:customStyle="1">
    <w:name w:val="Text body"/>
    <w:basedOn w:val="Normal"/>
    <w:qFormat/>
    <w:rsid w:val="00171cb9"/>
    <w:pPr>
      <w:widowControl w:val="false"/>
      <w:spacing w:lineRule="auto" w:line="240"/>
      <w:jc w:val="both"/>
    </w:pPr>
    <w:rPr>
      <w:rFonts w:ascii="PT Astra Serif" w:hAnsi="PT Astra Serif" w:eastAsia="PT Astra Serif" w:cs="PT Astra Serif"/>
      <w:kern w:val="2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8660-FF87-4069-842F-FA6E8EDD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LibreOffice/6.4.6.2$Linux_X86_64 LibreOffice_project/40$Build-2</Application>
  <Pages>2</Pages>
  <Words>357</Words>
  <Characters>2651</Characters>
  <CharactersWithSpaces>2996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2023-02-15T13:14:02Z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