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163"/>
        <w:gridCol w:w="4081"/>
      </w:tblGrid>
      <w:tr>
        <w:trPr/>
        <w:tc>
          <w:tcPr>
            <w:tcW w:w="5163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16" y="2108"/>
                      <wp:lineTo x="2672" y="3264"/>
                      <wp:lineTo x="1320" y="7137"/>
                      <wp:lineTo x="1457" y="15653"/>
                      <wp:lineTo x="3344" y="19931"/>
                      <wp:lineTo x="3880" y="19931"/>
                      <wp:lineTo x="5103" y="19931"/>
                      <wp:lineTo x="6311" y="19931"/>
                      <wp:lineTo x="15221" y="15288"/>
                      <wp:lineTo x="15221" y="14518"/>
                      <wp:lineTo x="18460" y="11395"/>
                      <wp:lineTo x="19540" y="9853"/>
                      <wp:lineTo x="18868" y="8313"/>
                      <wp:lineTo x="19668" y="7137"/>
                      <wp:lineTo x="17516" y="5981"/>
                      <wp:lineTo x="5503" y="2108"/>
                      <wp:lineTo x="3616" y="210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pict>
                <v:shape id="shape_0" ID="Надпись 4" stroked="f" style="position:absolute;margin-left:-22.3pt;margin-top:1.1pt;width:505.15pt;height:114.6pt">
                  <w10:wrap type="none"/>
                  <v:fill o:detectmouseclick="t" on="false"/>
                  <v:stroke color="#3465a4" joinstyle="round" endcap="flat"/>
                </v:shape>
              </w:pict>
            </w:r>
          </w:p>
        </w:tc>
        <w:tc>
          <w:tcPr>
            <w:tcW w:w="408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Управление информации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и общественных связей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Курской АЭС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Тел./ факс: +7 (47131) 4-95-41,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E-mail: iac@kunpp.ru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www.rosenergoatom.ru</w:t>
            </w:r>
          </w:p>
        </w:tc>
      </w:tr>
    </w:tbl>
    <w:p>
      <w:pPr>
        <w:pStyle w:val="Normal"/>
        <w:spacing w:before="80" w:after="80"/>
        <w:jc w:val="both"/>
        <w:rPr>
          <w:b/>
          <w:b/>
          <w:bCs/>
        </w:rPr>
      </w:pPr>
      <w:r>
        <w:rPr>
          <w:rFonts w:eastAsia="Rosatom"/>
          <w:b/>
          <w:bCs/>
          <w:sz w:val="24"/>
          <w:szCs w:val="24"/>
        </w:rPr>
        <w:t>ПРЕСС-РЕЛИЗ</w:t>
      </w:r>
    </w:p>
    <w:p>
      <w:pPr>
        <w:pStyle w:val="Normal"/>
        <w:spacing w:lineRule="auto" w:line="218" w:before="0" w:after="120"/>
        <w:ind w:right="1503" w:hanging="11"/>
        <w:jc w:val="both"/>
        <w:rPr>
          <w:rFonts w:eastAsia="Rosatom"/>
          <w:b/>
          <w:b/>
          <w:sz w:val="24"/>
          <w:szCs w:val="24"/>
        </w:rPr>
      </w:pPr>
      <w:r>
        <w:rPr>
          <w:rFonts w:eastAsia="Rosatom"/>
          <w:b/>
          <w:sz w:val="24"/>
          <w:szCs w:val="24"/>
        </w:rPr>
        <w:t>16.02.2023</w:t>
      </w:r>
    </w:p>
    <w:p>
      <w:pPr>
        <w:pStyle w:val="Normal"/>
        <w:spacing w:lineRule="auto" w:line="218" w:before="0" w:after="120"/>
        <w:ind w:right="1503" w:hanging="11"/>
        <w:jc w:val="both"/>
        <w:rPr>
          <w:rFonts w:eastAsia="Rosatom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Курская АЭС-2 признана образцовой строительной </w:t>
      </w:r>
      <w:bookmarkStart w:id="0" w:name="_GoBack"/>
      <w:bookmarkEnd w:id="0"/>
      <w:r>
        <w:rPr>
          <w:b/>
          <w:sz w:val="24"/>
          <w:szCs w:val="24"/>
        </w:rPr>
        <w:t>площадкой Госкорпорации «Росатом»</w:t>
      </w:r>
    </w:p>
    <w:p>
      <w:pPr>
        <w:pStyle w:val="Style25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Строительной площадке Курской АЭС-2 присвоен третий – наивысший уровень строительного ПСР-образца по итогам развивающей партнерской проверки качества. На сегодняшний день на разных предприятиях в дивизионах Госкорпорации «Росатом» существует пять строительных образцов, и площадка сооружения Курской АЭС-2 является первым и пока единственным обладателем ПСР-образца наивысшего уровня.</w:t>
      </w:r>
    </w:p>
    <w:p>
      <w:pPr>
        <w:pStyle w:val="Style25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Строительный ПСР-образец – это площадка с максимально эффективной организацией строительного процесса. При оценке эффективности ПСР-образца принимаются во внимание как количественные, так и качественные показатели эффективности. Вместе с этим, площадка служит местом для обучения персонала и тиражирования лучших отечественных и зарубежных рационализаторских практик атомной отрасли.</w:t>
      </w:r>
    </w:p>
    <w:p>
      <w:pPr>
        <w:pStyle w:val="Style25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«Курская АЭС-2 признана образцовой площадкой. Это значит, что нам удалось максимально эффективно оптимизировать строительный процесс. В ходе трехдневной проверки оценивалась работа семи подрядных организаций по 139 критериям.</w:t>
      </w:r>
      <w:r>
        <w:rPr>
          <w:rFonts w:eastAsia="Calibri"/>
          <w:color w:val="0D0D0D"/>
          <w:sz w:val="24"/>
          <w:szCs w:val="24"/>
        </w:rPr>
        <w:t xml:space="preserve"> Также был ряд критериев для оценки деятельности генерального подрядчика (АО «Атомстройэкспорт») и заказчика (Курская АЭС-2). Именно наличие критериев, описывающих ПСР-активность заказчика при организации строительных работ, и отличает ПСР-образец третьего уровня от второго.</w:t>
      </w:r>
      <w:r>
        <w:rPr>
          <w:sz w:val="24"/>
          <w:szCs w:val="24"/>
        </w:rPr>
        <w:t xml:space="preserve"> По итогам проверки комиссия отметила четыре положительные практики, которые рекомендованы к тиражированию на других строительных объектах Росатома</w:t>
      </w:r>
      <w:r>
        <w:rPr>
          <w:rFonts w:eastAsia="Calibri"/>
          <w:color w:val="0D0D0D"/>
          <w:sz w:val="24"/>
          <w:szCs w:val="24"/>
        </w:rPr>
        <w:t>»,</w:t>
      </w:r>
      <w:r>
        <w:rPr>
          <w:color w:val="0A0A0A"/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подвел итоги проверки исполняющий обязанности директора Курской АЭС </w:t>
      </w:r>
      <w:r>
        <w:rPr>
          <w:b/>
          <w:sz w:val="24"/>
          <w:szCs w:val="24"/>
        </w:rPr>
        <w:t>Андрей Ошарин</w:t>
      </w:r>
      <w:r>
        <w:rPr>
          <w:sz w:val="24"/>
          <w:szCs w:val="24"/>
        </w:rPr>
        <w:t>.</w:t>
      </w:r>
    </w:p>
    <w:p>
      <w:pPr>
        <w:pStyle w:val="Style25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Комиссия оценивала организацию строительных работ на площадке по следующим направлениям: планирование, производственный контроль и анализ, эффективная и безопасная организация рабочих мест, поиск и устранение потерь, повышение качества выполняемых работ за счет сокращения переделок и встроенного контроля качества. Также оценивались сроки выполнения контрольных событий – на площадке сооружения Курской АЭС-2 все события выполняются на 100 % в соответствии с установленным графиком.</w:t>
      </w:r>
    </w:p>
    <w:p>
      <w:pPr>
        <w:pStyle w:val="Normal"/>
        <w:spacing w:before="0" w:after="12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«Сложность получения статуса состоит в том, что для подтверждения соответствия всем критериям инструменты ПСР должны быть не просто продемонстрированы, они должны быть встроены в работу и приносить результаты на протяжении длительного периода времени (несколько месяцев). При этом вовлеченность персонала должна быть на всех уровнях: от рабочих до директоров и от подрядчиков до заказчика», – отметил вице-президент АО «Атомстройэкспорт», директор проекта по сооружению Курской АЭС-2 </w:t>
      </w:r>
      <w:r>
        <w:rPr>
          <w:b/>
          <w:sz w:val="24"/>
          <w:szCs w:val="24"/>
        </w:rPr>
        <w:t>Олег Шперле</w:t>
      </w:r>
      <w:r>
        <w:rPr>
          <w:sz w:val="24"/>
          <w:szCs w:val="24"/>
        </w:rPr>
        <w:t>.</w:t>
      </w:r>
    </w:p>
    <w:p>
      <w:pPr>
        <w:pStyle w:val="BodyTextIndent"/>
        <w:spacing w:lineRule="auto" w:line="276" w:before="0" w:after="12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 w:ascii="Arial" w:hAnsi="Arial"/>
          <w:sz w:val="24"/>
          <w:szCs w:val="24"/>
        </w:rPr>
        <w:t xml:space="preserve">«Подтверждая статус ПСР-образца, необходимо каждый год защищать критерии нулевого, первого, второго, а сейчас и третьего уровней. Заслуги прошлых периодов в зачет не идут, а за год от защиты до защиты меняется персонал в организациях, появляются и исчезают виды работ, строительные работы сменяются тепломонтажными, затем электромонтажными. Это можно сравнить с подготовкой к олимпиаде по нескольким видам спорта», – прокомментировал особенности проверки руководитель проекта Проектного офиса по развития ПСР в АО «Атомстройэкспорт» </w:t>
      </w:r>
      <w:r>
        <w:rPr>
          <w:rFonts w:cs="Arial" w:ascii="Arial" w:hAnsi="Arial"/>
          <w:b/>
          <w:sz w:val="24"/>
          <w:szCs w:val="24"/>
        </w:rPr>
        <w:t>Александр Терпугов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1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>
      <w:pPr>
        <w:pStyle w:val="Normal"/>
        <w:spacing w:before="0" w:after="120"/>
        <w:ind w:left="0" w:hanging="0"/>
        <w:jc w:val="right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4"/>
          <w:szCs w:val="24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PT Astra Serif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11" w:customStyle="1">
    <w:name w:val="Гиперссылка1"/>
    <w:basedOn w:val="DefaultParagraphFont"/>
    <w:uiPriority w:val="99"/>
    <w:unhideWhenUsed/>
    <w:qFormat/>
    <w:rsid w:val="00c30eb8"/>
    <w:rPr>
      <w:color w:val="0000FF"/>
      <w:u w:val="single"/>
    </w:rPr>
  </w:style>
  <w:style w:type="character" w:styleId="Style12">
    <w:name w:val="Выделение"/>
    <w:basedOn w:val="DefaultParagraphFont"/>
    <w:uiPriority w:val="20"/>
    <w:qFormat/>
    <w:rsid w:val="00794b65"/>
    <w:rPr>
      <w:i/>
      <w:iCs/>
    </w:rPr>
  </w:style>
  <w:style w:type="character" w:styleId="Style13">
    <w:name w:val="Интернет-ссылка"/>
    <w:rsid w:val="00c17646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a"/>
    <w:qFormat/>
    <w:rsid w:val="00c51143"/>
    <w:rPr/>
  </w:style>
  <w:style w:type="character" w:styleId="Style15" w:customStyle="1">
    <w:name w:val="Красная строка Знак"/>
    <w:basedOn w:val="Style14"/>
    <w:link w:val="af8"/>
    <w:uiPriority w:val="99"/>
    <w:semiHidden/>
    <w:qFormat/>
    <w:rsid w:val="00c51143"/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character" w:styleId="Style16" w:customStyle="1">
    <w:name w:val="Основной текст с отступом Знак"/>
    <w:basedOn w:val="DefaultParagraphFont"/>
    <w:link w:val="afa"/>
    <w:uiPriority w:val="99"/>
    <w:semiHidden/>
    <w:qFormat/>
    <w:rsid w:val="00171cb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b"/>
    <w:rsid w:val="00c17646"/>
    <w:pPr>
      <w:spacing w:before="0" w:after="140"/>
    </w:pPr>
    <w:rPr/>
  </w:style>
  <w:style w:type="paragraph" w:styleId="Style19">
    <w:name w:val="List"/>
    <w:basedOn w:val="Style18"/>
    <w:rsid w:val="00c17646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Заголовок1"/>
    <w:basedOn w:val="Normal"/>
    <w:next w:val="Style18"/>
    <w:qFormat/>
    <w:rsid w:val="00c17646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rsid w:val="00c1764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c17646"/>
    <w:pPr>
      <w:suppressLineNumbers/>
    </w:pPr>
    <w:rPr>
      <w:rFonts w:cs="Noto Sans Devanagari"/>
    </w:rPr>
  </w:style>
  <w:style w:type="paragraph" w:styleId="Style22">
    <w:name w:val="Title"/>
    <w:basedOn w:val="Normal"/>
    <w:next w:val="Style18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3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eastAsia="en-US" w:val="ru-RU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 w:customStyle="1">
    <w:name w:val="Содержимое врезки"/>
    <w:basedOn w:val="Normal"/>
    <w:qFormat/>
    <w:rsid w:val="00c17646"/>
    <w:pPr/>
    <w:rPr/>
  </w:style>
  <w:style w:type="paragraph" w:styleId="ListParagraph">
    <w:name w:val="List Paragraph"/>
    <w:basedOn w:val="Normal"/>
    <w:uiPriority w:val="34"/>
    <w:qFormat/>
    <w:rsid w:val="00a93ef5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BodyTextIndent">
    <w:name w:val="Body Text Indent"/>
    <w:basedOn w:val="Style18"/>
    <w:link w:val="af9"/>
    <w:uiPriority w:val="99"/>
    <w:semiHidden/>
    <w:unhideWhenUsed/>
    <w:qFormat/>
    <w:rsid w:val="00c51143"/>
    <w:pPr>
      <w:spacing w:lineRule="auto" w:line="259" w:before="0" w:after="160"/>
      <w:ind w:firstLine="360"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Standard" w:customStyle="1">
    <w:name w:val="Standard"/>
    <w:qFormat/>
    <w:rsid w:val="00c51143"/>
    <w:pPr>
      <w:widowControl/>
      <w:suppressAutoHyphens w:val="true"/>
      <w:bidi w:val="0"/>
      <w:spacing w:before="0" w:after="0"/>
      <w:jc w:val="left"/>
    </w:pPr>
    <w:rPr>
      <w:rFonts w:ascii="PT Astra Serif;Arial" w:hAnsi="PT Astra Serif;Arial" w:eastAsia="PT Astra Serif;Arial" w:cs="PT Astra Serif;Arial"/>
      <w:color w:val="000000"/>
      <w:kern w:val="2"/>
      <w:sz w:val="28"/>
      <w:szCs w:val="24"/>
      <w:lang w:val="en-GB" w:eastAsia="zh-CN" w:bidi="ar-SA"/>
    </w:rPr>
  </w:style>
  <w:style w:type="paragraph" w:styleId="Style25">
    <w:name w:val="Body Text Indent"/>
    <w:basedOn w:val="Normal"/>
    <w:link w:val="afb"/>
    <w:uiPriority w:val="99"/>
    <w:semiHidden/>
    <w:unhideWhenUsed/>
    <w:rsid w:val="00171cb9"/>
    <w:pPr>
      <w:spacing w:before="0" w:after="120"/>
      <w:ind w:left="283" w:hanging="0"/>
    </w:pPr>
    <w:rPr/>
  </w:style>
  <w:style w:type="paragraph" w:styleId="Textbody" w:customStyle="1">
    <w:name w:val="Text body"/>
    <w:basedOn w:val="Normal"/>
    <w:qFormat/>
    <w:rsid w:val="00171cb9"/>
    <w:pPr>
      <w:widowControl w:val="false"/>
      <w:spacing w:lineRule="auto" w:line="240"/>
      <w:jc w:val="both"/>
    </w:pPr>
    <w:rPr>
      <w:rFonts w:ascii="PT Astra Serif" w:hAnsi="PT Astra Serif" w:eastAsia="PT Astra Serif" w:cs="PT Astra Serif"/>
      <w:kern w:val="2"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5C66-897B-4126-92C5-85774F45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LibreOffice/6.4.6.2$Linux_X86_64 LibreOffice_project/40$Build-2</Application>
  <Pages>2</Pages>
  <Words>440</Words>
  <Characters>3214</Characters>
  <CharactersWithSpaces>3643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2023-02-16T16:30:35Z</dcterms:modified>
  <cp:revision>131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