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45" w:type="dxa"/>
        <w:jc w:val="left"/>
        <w:tblInd w:w="0" w:type="dxa"/>
        <w:tblCellMar>
          <w:top w:w="0" w:type="dxa"/>
          <w:left w:w="108" w:type="dxa"/>
          <w:bottom w:w="0" w:type="dxa"/>
          <w:right w:w="108" w:type="dxa"/>
        </w:tblCellMar>
        <w:tblLook w:lastRow="0" w:firstRow="1" w:lastColumn="0" w:firstColumn="1" w:val="04a0" w:noHBand="0" w:noVBand="1"/>
      </w:tblPr>
      <w:tblGrid>
        <w:gridCol w:w="5571"/>
        <w:gridCol w:w="3673"/>
      </w:tblGrid>
      <w:tr>
        <w:trPr/>
        <w:tc>
          <w:tcPr>
            <w:tcW w:w="5571" w:type="dxa"/>
            <w:tcBorders/>
            <w:shd w:color="auto" w:fill="auto" w:val="clear"/>
          </w:tcPr>
          <w:p>
            <w:pPr>
              <w:pStyle w:val="Normal"/>
              <w:widowControl w:val="false"/>
              <w:ind w:left="-250" w:hanging="0"/>
              <w:jc w:val="both"/>
              <w:rPr>
                <w:b/>
                <w:b/>
                <w:sz w:val="24"/>
                <w:szCs w:val="24"/>
              </w:rPr>
            </w:pPr>
            <w:r>
              <w:rPr>
                <w:b/>
                <w:sz w:val="24"/>
                <w:szCs w:val="24"/>
              </w:rPr>
              <mc:AlternateContent>
                <mc:Choice Requires="wps">
                  <w:drawing>
                    <wp:anchor behindDoc="0" distT="0" distB="0" distL="0" distR="0" simplePos="0" locked="0" layoutInCell="1" allowOverlap="1" relativeHeight="3">
                      <wp:simplePos x="0" y="0"/>
                      <wp:positionH relativeFrom="column">
                        <wp:posOffset>-3653155</wp:posOffset>
                      </wp:positionH>
                      <wp:positionV relativeFrom="paragraph">
                        <wp:posOffset>-58420</wp:posOffset>
                      </wp:positionV>
                      <wp:extent cx="6422390" cy="1462405"/>
                      <wp:effectExtent l="0" t="0" r="0" b="0"/>
                      <wp:wrapNone/>
                      <wp:docPr id="1" name="Изображение1"/>
                      <a:graphic xmlns:a="http://schemas.openxmlformats.org/drawingml/2006/main">
                        <a:graphicData uri="http://schemas.microsoft.com/office/word/2010/wordprocessingShape">
                          <wps:wsp>
                            <wps:cNvSpPr/>
                            <wps:spPr>
                              <a:xfrm>
                                <a:off x="0" y="0"/>
                                <a:ext cx="6421680" cy="1461600"/>
                              </a:xfrm>
                              <a:prstGeom prst="rect">
                                <a:avLst/>
                              </a:prstGeom>
                              <a:noFill/>
                              <a:ln>
                                <a:noFill/>
                              </a:ln>
                            </wps:spPr>
                            <wps:style>
                              <a:lnRef idx="0"/>
                              <a:fillRef idx="0"/>
                              <a:effectRef idx="0"/>
                              <a:fontRef idx="minor"/>
                            </wps:style>
                            <wps:bodyPr/>
                          </wps:wsp>
                        </a:graphicData>
                      </a:graphic>
                    </wp:anchor>
                  </w:drawing>
                </mc:Choice>
                <mc:Fallback>
                  <w:pict>
                    <v:rect id="shape_0" ID="Изображение1" stroked="f" style="position:absolute;margin-left:-287.65pt;margin-top:-4.6pt;width:505.6pt;height:115.05pt">
                      <w10:wrap type="none"/>
                      <v:fill o:detectmouseclick="t" on="false"/>
                      <v:stroke color="#3465a4" joinstyle="round" endcap="flat"/>
                    </v:rect>
                  </w:pict>
                </mc:Fallback>
              </mc:AlternateContent>
              <w:drawing>
                <wp:anchor behindDoc="0" distT="0" distB="0" distL="114300" distR="114300" simplePos="0" locked="0" layoutInCell="1" allowOverlap="1" relativeHeight="2">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2822" y="1885"/>
                      <wp:lineTo x="1807" y="3041"/>
                      <wp:lineTo x="413" y="6691"/>
                      <wp:lineTo x="570" y="14984"/>
                      <wp:lineTo x="2536" y="19039"/>
                      <wp:lineTo x="3094" y="19039"/>
                      <wp:lineTo x="4352" y="19039"/>
                      <wp:lineTo x="5604" y="19039"/>
                      <wp:lineTo x="14906" y="14619"/>
                      <wp:lineTo x="14906" y="13849"/>
                      <wp:lineTo x="18295" y="10726"/>
                      <wp:lineTo x="19382" y="9407"/>
                      <wp:lineTo x="18711" y="7867"/>
                      <wp:lineTo x="19512" y="6691"/>
                      <wp:lineTo x="17280" y="5535"/>
                      <wp:lineTo x="4795" y="1885"/>
                      <wp:lineTo x="2822" y="1885"/>
                    </wp:wrapPolygon>
                  </wp:wrapTight>
                  <wp:docPr id="2"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D:\Изображения\#DESIGN\logo\КуАЭС new logo 2020\лого для пресс-релиза-КуАЭС.png"/>
                          <pic:cNvPicPr>
                            <a:picLocks noChangeAspect="1" noChangeArrowheads="1"/>
                          </pic:cNvPicPr>
                        </pic:nvPicPr>
                        <pic:blipFill>
                          <a:blip r:embed="rId2"/>
                          <a:stretch>
                            <a:fillRect/>
                          </a:stretch>
                        </pic:blipFill>
                        <pic:spPr bwMode="auto">
                          <a:xfrm>
                            <a:off x="0" y="0"/>
                            <a:ext cx="3060700" cy="1057275"/>
                          </a:xfrm>
                          <a:prstGeom prst="rect">
                            <a:avLst/>
                          </a:prstGeom>
                        </pic:spPr>
                      </pic:pic>
                    </a:graphicData>
                  </a:graphic>
                </wp:anchor>
              </w:drawing>
            </w:r>
          </w:p>
        </w:tc>
        <w:tc>
          <w:tcPr>
            <w:tcW w:w="3673" w:type="dxa"/>
            <w:tcBorders/>
            <w:shd w:color="auto" w:fill="auto" w:val="clear"/>
          </w:tcPr>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Управление информации</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и общественных связей</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Курской АЭС</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Тел./ факс: +7 (47131) 4-95-41,</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E-mail: iac@kunpp.ru</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www.rosenergoatom.ru</w:t>
            </w:r>
          </w:p>
        </w:tc>
      </w:tr>
    </w:tbl>
    <w:p>
      <w:pPr>
        <w:pStyle w:val="Normal"/>
        <w:spacing w:before="80" w:after="80"/>
        <w:jc w:val="both"/>
        <w:rPr/>
      </w:pPr>
      <w:r>
        <w:rPr>
          <w:rFonts w:eastAsia="Rosatom"/>
          <w:b/>
          <w:bCs/>
          <w:sz w:val="24"/>
          <w:szCs w:val="24"/>
        </w:rPr>
        <w:t>ПРЕСС-РЕЛИЗ</w:t>
      </w:r>
    </w:p>
    <w:p>
      <w:pPr>
        <w:pStyle w:val="Normal"/>
        <w:spacing w:lineRule="auto" w:line="218" w:before="0" w:after="120"/>
        <w:ind w:right="1503" w:hanging="11"/>
        <w:jc w:val="both"/>
        <w:rPr>
          <w:rFonts w:eastAsia="Rosatom"/>
          <w:b/>
          <w:b/>
          <w:sz w:val="24"/>
          <w:szCs w:val="24"/>
        </w:rPr>
      </w:pPr>
      <w:r>
        <w:rPr>
          <w:rFonts w:eastAsia="Rosatom"/>
          <w:b/>
          <w:sz w:val="24"/>
          <w:szCs w:val="24"/>
        </w:rPr>
        <w:t>17.02.2023</w:t>
      </w:r>
    </w:p>
    <w:p>
      <w:pPr>
        <w:pStyle w:val="NormalWeb"/>
        <w:shd w:val="clear" w:color="auto" w:fill="FFFFFF"/>
        <w:spacing w:lineRule="auto" w:line="276" w:beforeAutospacing="0" w:before="166" w:afterAutospacing="0" w:after="6"/>
        <w:jc w:val="both"/>
        <w:rPr>
          <w:b/>
          <w:b/>
          <w:bCs/>
        </w:rPr>
      </w:pPr>
      <w:r>
        <w:rPr>
          <w:rFonts w:cs="Arial" w:ascii="Arial" w:hAnsi="Arial"/>
          <w:b/>
          <w:bCs/>
          <w:i w:val="false"/>
          <w:iCs w:val="false"/>
          <w:sz w:val="24"/>
          <w:szCs w:val="24"/>
        </w:rPr>
        <w:t>Курская АЭС: около 90 пятиклассников Курчатова приняли участие в мероприятии по ранней профориентации</w:t>
      </w:r>
    </w:p>
    <w:p>
      <w:pPr>
        <w:pStyle w:val="NormalWeb"/>
        <w:shd w:val="clear" w:color="auto" w:fill="FFFFFF"/>
        <w:spacing w:lineRule="auto" w:line="276" w:beforeAutospacing="0" w:before="109" w:afterAutospacing="0" w:after="0"/>
        <w:jc w:val="both"/>
        <w:rPr>
          <w:i w:val="false"/>
          <w:i w:val="false"/>
          <w:iCs w:val="false"/>
        </w:rPr>
      </w:pPr>
      <w:r>
        <w:rPr>
          <w:rFonts w:cs="Arial" w:ascii="Arial" w:hAnsi="Arial"/>
          <w:b w:val="false"/>
          <w:bCs w:val="false"/>
          <w:i w:val="false"/>
          <w:iCs w:val="false"/>
          <w:sz w:val="24"/>
          <w:szCs w:val="24"/>
        </w:rPr>
        <w:t>Ученики пятых классов г. Курчатова (гимназия №1, гимназия №2, лицей №3), в общей сложности около 90 человек, приняли участие в интеллектуальной игре «Юбиляры — город и человек», организованной по принципу «Поле чудес» специалистами Управления информации Курской АЭС в партнерстве с Центральной детской библиотекой г. Курчатова.</w:t>
      </w:r>
    </w:p>
    <w:p>
      <w:pPr>
        <w:pStyle w:val="NormalWeb"/>
        <w:shd w:val="clear" w:color="auto" w:fill="FFFFFF"/>
        <w:spacing w:lineRule="auto" w:line="276" w:beforeAutospacing="0" w:before="52" w:afterAutospacing="0" w:after="0"/>
        <w:jc w:val="both"/>
        <w:rPr>
          <w:i w:val="false"/>
          <w:i w:val="false"/>
          <w:iCs w:val="false"/>
        </w:rPr>
      </w:pPr>
      <w:r>
        <w:rPr>
          <w:rFonts w:cs="Arial" w:ascii="Arial" w:hAnsi="Arial"/>
          <w:b w:val="false"/>
          <w:bCs w:val="false"/>
          <w:i w:val="false"/>
          <w:iCs w:val="false"/>
          <w:sz w:val="24"/>
          <w:szCs w:val="24"/>
        </w:rPr>
        <w:t xml:space="preserve">«В рамках национального проекта «Образования» ранняя профориентация стоит отдельной задачей. Чем раньше ребенок поймет, что ему интересно, чем бы он хотел заниматься когда вырастет, тем успешнее сложится профессиональная жизнь взрослого человека. Сейчас непозволительно бездействовать и ждать, когда молодежь выберет профессию атомщика. Подобные мероприятия как раз позволяют зародить в ребятах интерес, познакомить с атомной энергетикой», – рассказал заместитель директора по управлению персоналом </w:t>
      </w:r>
      <w:r>
        <w:rPr>
          <w:rFonts w:cs="Arial" w:ascii="Arial" w:hAnsi="Arial"/>
          <w:b/>
          <w:bCs/>
          <w:i w:val="false"/>
          <w:iCs w:val="false"/>
          <w:sz w:val="24"/>
          <w:szCs w:val="24"/>
        </w:rPr>
        <w:t>Сергей Белугин</w:t>
      </w:r>
      <w:r>
        <w:rPr>
          <w:rFonts w:cs="Arial" w:ascii="Arial" w:hAnsi="Arial"/>
          <w:b w:val="false"/>
          <w:bCs w:val="false"/>
          <w:i w:val="false"/>
          <w:iCs w:val="false"/>
          <w:sz w:val="24"/>
          <w:szCs w:val="24"/>
        </w:rPr>
        <w:t>.</w:t>
      </w:r>
    </w:p>
    <w:p>
      <w:pPr>
        <w:pStyle w:val="NormalWeb"/>
        <w:shd w:val="clear" w:color="auto" w:fill="FFFFFF"/>
        <w:spacing w:lineRule="auto" w:line="276" w:beforeAutospacing="0" w:before="0" w:afterAutospacing="0" w:after="0"/>
        <w:jc w:val="both"/>
        <w:rPr>
          <w:i w:val="false"/>
          <w:i w:val="false"/>
          <w:iCs w:val="false"/>
        </w:rPr>
      </w:pPr>
      <w:r>
        <w:rPr>
          <w:rFonts w:cs="Arial" w:ascii="Arial" w:hAnsi="Arial"/>
          <w:b w:val="false"/>
          <w:bCs w:val="false"/>
          <w:i w:val="false"/>
          <w:iCs w:val="false"/>
          <w:sz w:val="24"/>
          <w:szCs w:val="24"/>
        </w:rPr>
        <w:t>Темой состязания юных эрудитов стали юбилей города Курчатова, в этом году ему исполняется 55 лет, и 120-летие со дня рождения академика Игоря Курчатова.</w:t>
      </w:r>
    </w:p>
    <w:p>
      <w:pPr>
        <w:pStyle w:val="NormalWeb"/>
        <w:shd w:val="clear" w:color="auto" w:fill="FFFFFF"/>
        <w:spacing w:lineRule="auto" w:line="276" w:beforeAutospacing="0" w:before="109" w:afterAutospacing="0" w:after="0"/>
        <w:jc w:val="both"/>
        <w:rPr>
          <w:i w:val="false"/>
          <w:i w:val="false"/>
          <w:iCs w:val="false"/>
        </w:rPr>
      </w:pPr>
      <w:r>
        <w:rPr>
          <w:rFonts w:cs="Arial" w:ascii="Arial" w:hAnsi="Arial"/>
          <w:b w:val="false"/>
          <w:bCs w:val="false"/>
          <w:i w:val="false"/>
          <w:iCs w:val="false"/>
          <w:sz w:val="24"/>
          <w:szCs w:val="24"/>
        </w:rPr>
        <w:t xml:space="preserve">«Заранее сообщили командам тему игры, что обеспечило здоровую конкуренцию. Ребята готовились, это заметно, – отметила представитель Центральной детской библиотеки </w:t>
      </w:r>
      <w:r>
        <w:rPr>
          <w:rFonts w:cs="Arial" w:ascii="Arial" w:hAnsi="Arial"/>
          <w:b/>
          <w:bCs/>
          <w:i w:val="false"/>
          <w:iCs w:val="false"/>
          <w:sz w:val="24"/>
          <w:szCs w:val="24"/>
        </w:rPr>
        <w:t>Елена Назарьева</w:t>
      </w:r>
      <w:r>
        <w:rPr>
          <w:rFonts w:cs="Arial" w:ascii="Arial" w:hAnsi="Arial"/>
          <w:b w:val="false"/>
          <w:bCs w:val="false"/>
          <w:i w:val="false"/>
          <w:iCs w:val="false"/>
          <w:sz w:val="24"/>
          <w:szCs w:val="24"/>
        </w:rPr>
        <w:t>. – История нашего города неразрывна связана с развитием атомной энергетики. Возможно в будущем кто-то из ребят придет работать на новые энергоблоки Курской АЭС-2».</w:t>
      </w:r>
    </w:p>
    <w:p>
      <w:pPr>
        <w:pStyle w:val="NormalWeb"/>
        <w:shd w:val="clear" w:color="auto" w:fill="FFFFFF"/>
        <w:spacing w:lineRule="auto" w:line="276" w:beforeAutospacing="0" w:before="52" w:afterAutospacing="0" w:after="0"/>
        <w:jc w:val="both"/>
        <w:rPr>
          <w:i w:val="false"/>
          <w:i w:val="false"/>
          <w:iCs w:val="false"/>
        </w:rPr>
      </w:pPr>
      <w:r>
        <w:rPr>
          <w:rFonts w:cs="Arial" w:ascii="Arial" w:hAnsi="Arial"/>
          <w:b w:val="false"/>
          <w:bCs w:val="false"/>
          <w:i w:val="false"/>
          <w:iCs w:val="false"/>
          <w:sz w:val="24"/>
          <w:szCs w:val="24"/>
        </w:rPr>
        <w:t xml:space="preserve">После трех туров определились финалисты. Ими стали учащиеся гимназии №1. В суперфинал вышла, и в итоге победила </w:t>
      </w:r>
      <w:r>
        <w:rPr>
          <w:rFonts w:cs="Arial" w:ascii="Arial" w:hAnsi="Arial"/>
          <w:b/>
          <w:bCs/>
          <w:i w:val="false"/>
          <w:iCs w:val="false"/>
          <w:sz w:val="24"/>
          <w:szCs w:val="24"/>
        </w:rPr>
        <w:t>Злата Сумина</w:t>
      </w:r>
      <w:r>
        <w:rPr>
          <w:rFonts w:cs="Arial" w:ascii="Arial" w:hAnsi="Arial"/>
          <w:b w:val="false"/>
          <w:bCs w:val="false"/>
          <w:i w:val="false"/>
          <w:iCs w:val="false"/>
          <w:sz w:val="24"/>
          <w:szCs w:val="24"/>
        </w:rPr>
        <w:t>.</w:t>
      </w:r>
    </w:p>
    <w:p>
      <w:pPr>
        <w:pStyle w:val="NormalWeb"/>
        <w:shd w:val="clear" w:color="auto" w:fill="FFFFFF"/>
        <w:spacing w:lineRule="auto" w:line="276" w:beforeAutospacing="0" w:before="109" w:afterAutospacing="0" w:after="0"/>
        <w:jc w:val="both"/>
        <w:rPr>
          <w:i w:val="false"/>
          <w:i w:val="false"/>
          <w:iCs w:val="false"/>
        </w:rPr>
      </w:pPr>
      <w:r>
        <w:rPr>
          <w:rFonts w:cs="Arial" w:ascii="Arial" w:hAnsi="Arial"/>
          <w:b w:val="false"/>
          <w:bCs w:val="false"/>
          <w:i w:val="false"/>
          <w:iCs w:val="false"/>
          <w:sz w:val="24"/>
          <w:szCs w:val="24"/>
        </w:rPr>
        <w:t xml:space="preserve">«Готовясь к мероприятию, читала информацию об ученом Курчатове, об атомной станции, нашем городе. Спасибо организаторам за интересную игру», – рассказала ученица гимназии №1 </w:t>
      </w:r>
      <w:r>
        <w:rPr>
          <w:rFonts w:cs="Arial" w:ascii="Arial" w:hAnsi="Arial"/>
          <w:b/>
          <w:bCs/>
          <w:i w:val="false"/>
          <w:iCs w:val="false"/>
          <w:sz w:val="24"/>
          <w:szCs w:val="24"/>
        </w:rPr>
        <w:t>Злата Сумина</w:t>
      </w:r>
      <w:r>
        <w:rPr>
          <w:rFonts w:cs="Arial" w:ascii="Arial" w:hAnsi="Arial"/>
          <w:b w:val="false"/>
          <w:bCs w:val="false"/>
          <w:i w:val="false"/>
          <w:iCs w:val="false"/>
          <w:sz w:val="24"/>
          <w:szCs w:val="24"/>
        </w:rPr>
        <w:t>.</w:t>
      </w:r>
    </w:p>
    <w:p>
      <w:pPr>
        <w:pStyle w:val="NormalWeb"/>
        <w:shd w:val="clear" w:color="auto" w:fill="FFFFFF"/>
        <w:spacing w:lineRule="auto" w:line="276" w:beforeAutospacing="0" w:before="166" w:afterAutospacing="0" w:after="6"/>
        <w:jc w:val="both"/>
        <w:rPr>
          <w:i w:val="false"/>
          <w:i w:val="false"/>
          <w:iCs w:val="false"/>
        </w:rPr>
      </w:pPr>
      <w:r>
        <w:rPr>
          <w:rFonts w:cs="Arial" w:ascii="Arial" w:hAnsi="Arial"/>
          <w:b w:val="false"/>
          <w:bCs w:val="false"/>
          <w:i w:val="false"/>
          <w:iCs w:val="false"/>
          <w:sz w:val="24"/>
          <w:szCs w:val="24"/>
        </w:rPr>
        <w:t>Развитие отечественной науки и технологий напрямую зависит от качества образования и от сформированного запроса профессионального сообщества на кадры. В России продолжается крепление образовательной базы. Повышается доступность профориентационных программ для школьников. Формируются условия, для того чтобы будущие специалисты, могли еще будучи школьниками проявить себя и получить поддержку для развития своих идей.</w:t>
      </w:r>
    </w:p>
    <w:p>
      <w:pPr>
        <w:pStyle w:val="Normal"/>
        <w:spacing w:before="0" w:after="120"/>
        <w:jc w:val="right"/>
        <w:rPr>
          <w:b/>
          <w:b/>
          <w:bCs/>
        </w:rPr>
      </w:pPr>
      <w:r>
        <w:rPr>
          <w:b/>
          <w:bCs/>
          <w:sz w:val="24"/>
          <w:szCs w:val="24"/>
        </w:rPr>
        <w:t>Управление информации и общественных связей Курской АЭС</w:t>
      </w:r>
    </w:p>
    <w:sectPr>
      <w:type w:val="nextPage"/>
      <w:pgSz w:w="11906" w:h="16838"/>
      <w:pgMar w:left="1440" w:right="1440" w:header="0" w:top="1134" w:footer="0" w:bottom="851" w:gutter="0"/>
      <w:pgNumType w:start="1" w:fmt="decimal"/>
      <w:formProt w:val="false"/>
      <w:textDirection w:val="lrTb"/>
      <w:docGrid w:type="default" w:linePitch="1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Segoe UI">
    <w:charset w:val="01"/>
    <w:family w:val="roman"/>
    <w:pitch w:val="default"/>
  </w:font>
  <w:font w:name="Calibri">
    <w:charset w:val="01"/>
    <w:family w:val="roman"/>
    <w:pitch w:val="default"/>
  </w:font>
  <w:font w:name="PT Astra Serif">
    <w:charset w:val="01"/>
    <w:family w:val="roman"/>
    <w:pitch w:val="default"/>
  </w:font>
  <w:font w:name="Liberation Sans">
    <w:altName w:val="Arial"/>
    <w:charset w:val="01"/>
    <w:family w:val="roman"/>
    <w:pitch w:val="default"/>
  </w:font>
  <w:font w:name="Times New Roman">
    <w:charset w:val="01"/>
    <w:family w:val="roman"/>
    <w:pitch w:val="default"/>
  </w:font>
  <w:font w:name="HiddenHorzOCl">
    <w:charset w:val="01"/>
    <w:family w:val="roman"/>
    <w:pitch w:val="default"/>
  </w:font>
  <w:font w:name="Cambria">
    <w:charset w:val="01"/>
    <w:family w:val="roman"/>
    <w:pitch w:val="default"/>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23cc"/>
    <w:pPr>
      <w:widowControl/>
      <w:suppressAutoHyphens w:val="true"/>
      <w:bidi w:val="0"/>
      <w:spacing w:lineRule="auto" w:line="276" w:before="0" w:after="0"/>
      <w:jc w:val="left"/>
    </w:pPr>
    <w:rPr>
      <w:rFonts w:ascii="Arial" w:hAnsi="Arial" w:eastAsia="Arial" w:cs="Arial"/>
      <w:color w:val="auto"/>
      <w:kern w:val="0"/>
      <w:sz w:val="22"/>
      <w:szCs w:val="22"/>
      <w:lang w:val="ru-RU" w:eastAsia="ru-RU" w:bidi="ar-SA"/>
    </w:rPr>
  </w:style>
  <w:style w:type="paragraph" w:styleId="1">
    <w:name w:val="Heading 1"/>
    <w:basedOn w:val="Normal"/>
    <w:next w:val="Normal"/>
    <w:qFormat/>
    <w:rsid w:val="00f223cc"/>
    <w:pPr>
      <w:keepNext w:val="true"/>
      <w:keepLines/>
      <w:spacing w:before="400" w:after="120"/>
      <w:outlineLvl w:val="0"/>
    </w:pPr>
    <w:rPr>
      <w:sz w:val="40"/>
      <w:szCs w:val="40"/>
    </w:rPr>
  </w:style>
  <w:style w:type="paragraph" w:styleId="2">
    <w:name w:val="Heading 2"/>
    <w:basedOn w:val="Normal"/>
    <w:next w:val="Normal"/>
    <w:qFormat/>
    <w:rsid w:val="00f223cc"/>
    <w:pPr>
      <w:keepNext w:val="true"/>
      <w:keepLines/>
      <w:spacing w:before="360" w:after="120"/>
      <w:outlineLvl w:val="1"/>
    </w:pPr>
    <w:rPr>
      <w:sz w:val="32"/>
      <w:szCs w:val="32"/>
    </w:rPr>
  </w:style>
  <w:style w:type="paragraph" w:styleId="3">
    <w:name w:val="Heading 3"/>
    <w:basedOn w:val="Normal"/>
    <w:next w:val="Normal"/>
    <w:qFormat/>
    <w:rsid w:val="00f223cc"/>
    <w:pPr>
      <w:keepNext w:val="true"/>
      <w:keepLines/>
      <w:spacing w:before="320" w:after="80"/>
      <w:outlineLvl w:val="2"/>
    </w:pPr>
    <w:rPr>
      <w:color w:val="434343"/>
      <w:sz w:val="28"/>
      <w:szCs w:val="28"/>
    </w:rPr>
  </w:style>
  <w:style w:type="paragraph" w:styleId="4">
    <w:name w:val="Heading 4"/>
    <w:basedOn w:val="Normal"/>
    <w:next w:val="Normal"/>
    <w:qFormat/>
    <w:rsid w:val="00f223cc"/>
    <w:pPr>
      <w:keepNext w:val="true"/>
      <w:keepLines/>
      <w:spacing w:before="280" w:after="80"/>
      <w:outlineLvl w:val="3"/>
    </w:pPr>
    <w:rPr>
      <w:color w:val="666666"/>
      <w:sz w:val="24"/>
      <w:szCs w:val="24"/>
    </w:rPr>
  </w:style>
  <w:style w:type="paragraph" w:styleId="5">
    <w:name w:val="Heading 5"/>
    <w:basedOn w:val="Normal"/>
    <w:next w:val="Normal"/>
    <w:qFormat/>
    <w:rsid w:val="00f223cc"/>
    <w:pPr>
      <w:keepNext w:val="true"/>
      <w:keepLines/>
      <w:spacing w:before="240" w:after="80"/>
      <w:outlineLvl w:val="4"/>
    </w:pPr>
    <w:rPr>
      <w:color w:val="666666"/>
    </w:rPr>
  </w:style>
  <w:style w:type="paragraph" w:styleId="6">
    <w:name w:val="Heading 6"/>
    <w:basedOn w:val="Normal"/>
    <w:next w:val="Normal"/>
    <w:qFormat/>
    <w:rsid w:val="00f223cc"/>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uiPriority w:val="99"/>
    <w:semiHidden/>
    <w:qFormat/>
    <w:rsid w:val="008529f5"/>
    <w:rPr>
      <w:rFonts w:ascii="Segoe UI" w:hAnsi="Segoe UI" w:cs="Segoe UI"/>
      <w:sz w:val="18"/>
      <w:szCs w:val="18"/>
    </w:rPr>
  </w:style>
  <w:style w:type="character" w:styleId="Annotationreference">
    <w:name w:val="annotation reference"/>
    <w:basedOn w:val="DefaultParagraphFont"/>
    <w:uiPriority w:val="99"/>
    <w:semiHidden/>
    <w:unhideWhenUsed/>
    <w:qFormat/>
    <w:rsid w:val="007829cb"/>
    <w:rPr>
      <w:sz w:val="16"/>
      <w:szCs w:val="16"/>
    </w:rPr>
  </w:style>
  <w:style w:type="character" w:styleId="Style9" w:customStyle="1">
    <w:name w:val="Текст примечания Знак"/>
    <w:basedOn w:val="DefaultParagraphFont"/>
    <w:uiPriority w:val="99"/>
    <w:semiHidden/>
    <w:qFormat/>
    <w:rsid w:val="007829cb"/>
    <w:rPr>
      <w:sz w:val="20"/>
      <w:szCs w:val="20"/>
    </w:rPr>
  </w:style>
  <w:style w:type="character" w:styleId="Style10" w:customStyle="1">
    <w:name w:val="Тема примечания Знак"/>
    <w:basedOn w:val="Style9"/>
    <w:uiPriority w:val="99"/>
    <w:semiHidden/>
    <w:qFormat/>
    <w:rsid w:val="007829cb"/>
    <w:rPr>
      <w:b/>
      <w:bCs/>
      <w:sz w:val="20"/>
      <w:szCs w:val="20"/>
    </w:rPr>
  </w:style>
  <w:style w:type="character" w:styleId="Style11" w:customStyle="1">
    <w:name w:val="Текст Знак"/>
    <w:basedOn w:val="DefaultParagraphFont"/>
    <w:uiPriority w:val="99"/>
    <w:semiHidden/>
    <w:qFormat/>
    <w:rsid w:val="00f03daf"/>
    <w:rPr>
      <w:rFonts w:ascii="Calibri" w:hAnsi="Calibri" w:eastAsia="Cambria" w:cs="" w:cstheme="minorBidi" w:eastAsiaTheme="minorHAnsi"/>
      <w:szCs w:val="21"/>
      <w:lang w:val="ru-RU" w:eastAsia="en-US"/>
    </w:rPr>
  </w:style>
  <w:style w:type="character" w:styleId="11" w:customStyle="1">
    <w:name w:val="Гиперссылка1"/>
    <w:basedOn w:val="DefaultParagraphFont"/>
    <w:uiPriority w:val="99"/>
    <w:unhideWhenUsed/>
    <w:qFormat/>
    <w:rsid w:val="00c30eb8"/>
    <w:rPr>
      <w:color w:val="0000FF"/>
      <w:u w:val="single"/>
    </w:rPr>
  </w:style>
  <w:style w:type="character" w:styleId="Style12">
    <w:name w:val="Выделение"/>
    <w:basedOn w:val="DefaultParagraphFont"/>
    <w:uiPriority w:val="20"/>
    <w:qFormat/>
    <w:rsid w:val="00794b65"/>
    <w:rPr>
      <w:i/>
      <w:iCs/>
    </w:rPr>
  </w:style>
  <w:style w:type="character" w:styleId="Style13">
    <w:name w:val="Интернет-ссылка"/>
    <w:rsid w:val="00c17646"/>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rsid w:val="00c17646"/>
    <w:pPr>
      <w:spacing w:before="0" w:after="140"/>
    </w:pPr>
    <w:rPr/>
  </w:style>
  <w:style w:type="paragraph" w:styleId="Style16">
    <w:name w:val="List"/>
    <w:basedOn w:val="Style15"/>
    <w:rsid w:val="00c17646"/>
    <w:pPr/>
    <w:rPr>
      <w:rFonts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12" w:customStyle="1">
    <w:name w:val="Заголовок1"/>
    <w:basedOn w:val="Normal"/>
    <w:next w:val="Style15"/>
    <w:qFormat/>
    <w:rsid w:val="00c17646"/>
    <w:pPr>
      <w:keepNext w:val="true"/>
      <w:spacing w:before="240" w:after="120"/>
    </w:pPr>
    <w:rPr>
      <w:rFonts w:ascii="Liberation Sans" w:hAnsi="Liberation Sans" w:eastAsia="Tahoma" w:cs="Noto Sans Devanagari"/>
      <w:sz w:val="28"/>
      <w:szCs w:val="28"/>
    </w:rPr>
  </w:style>
  <w:style w:type="paragraph" w:styleId="Caption">
    <w:name w:val="caption"/>
    <w:basedOn w:val="Normal"/>
    <w:qFormat/>
    <w:rsid w:val="00c17646"/>
    <w:pPr>
      <w:suppressLineNumbers/>
      <w:spacing w:before="120" w:after="120"/>
    </w:pPr>
    <w:rPr>
      <w:rFonts w:cs="Noto Sans Devanagari"/>
      <w:i/>
      <w:iCs/>
      <w:sz w:val="24"/>
      <w:szCs w:val="24"/>
    </w:rPr>
  </w:style>
  <w:style w:type="paragraph" w:styleId="Indexheading">
    <w:name w:val="index heading"/>
    <w:basedOn w:val="Normal"/>
    <w:qFormat/>
    <w:rsid w:val="00c17646"/>
    <w:pPr>
      <w:suppressLineNumbers/>
    </w:pPr>
    <w:rPr>
      <w:rFonts w:cs="Noto Sans Devanagari"/>
    </w:rPr>
  </w:style>
  <w:style w:type="paragraph" w:styleId="Style19">
    <w:name w:val="Title"/>
    <w:basedOn w:val="Normal"/>
    <w:next w:val="Style15"/>
    <w:qFormat/>
    <w:rsid w:val="00f223cc"/>
    <w:pPr>
      <w:keepNext w:val="true"/>
      <w:keepLines/>
      <w:spacing w:before="0" w:after="60"/>
    </w:pPr>
    <w:rPr>
      <w:sz w:val="52"/>
      <w:szCs w:val="52"/>
    </w:rPr>
  </w:style>
  <w:style w:type="paragraph" w:styleId="Style20">
    <w:name w:val="Subtitle"/>
    <w:basedOn w:val="Normal"/>
    <w:next w:val="Normal"/>
    <w:qFormat/>
    <w:rsid w:val="00f223cc"/>
    <w:pPr>
      <w:keepNext w:val="true"/>
      <w:keepLines/>
      <w:spacing w:before="0" w:after="320"/>
    </w:pPr>
    <w:rPr>
      <w:color w:val="666666"/>
      <w:sz w:val="30"/>
      <w:szCs w:val="30"/>
    </w:rPr>
  </w:style>
  <w:style w:type="paragraph" w:styleId="BalloonText">
    <w:name w:val="Balloon Text"/>
    <w:basedOn w:val="Normal"/>
    <w:uiPriority w:val="99"/>
    <w:semiHidden/>
    <w:unhideWhenUsed/>
    <w:qFormat/>
    <w:rsid w:val="008529f5"/>
    <w:pPr>
      <w:spacing w:lineRule="auto" w:line="240"/>
    </w:pPr>
    <w:rPr>
      <w:rFonts w:ascii="Segoe UI" w:hAnsi="Segoe UI" w:cs="Segoe UI"/>
      <w:sz w:val="18"/>
      <w:szCs w:val="18"/>
    </w:rPr>
  </w:style>
  <w:style w:type="paragraph" w:styleId="Annotationtext">
    <w:name w:val="annotation text"/>
    <w:basedOn w:val="Normal"/>
    <w:uiPriority w:val="99"/>
    <w:semiHidden/>
    <w:unhideWhenUsed/>
    <w:qFormat/>
    <w:rsid w:val="007829cb"/>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7829cb"/>
    <w:pPr/>
    <w:rPr>
      <w:b/>
      <w:bCs/>
    </w:rPr>
  </w:style>
  <w:style w:type="paragraph" w:styleId="PlainText">
    <w:name w:val="Plain Text"/>
    <w:basedOn w:val="Normal"/>
    <w:uiPriority w:val="99"/>
    <w:semiHidden/>
    <w:unhideWhenUsed/>
    <w:qFormat/>
    <w:rsid w:val="00f03daf"/>
    <w:pPr>
      <w:spacing w:lineRule="auto" w:line="240"/>
    </w:pPr>
    <w:rPr>
      <w:rFonts w:ascii="Calibri" w:hAnsi="Calibri" w:eastAsia="Cambria" w:cs="" w:cstheme="minorBidi" w:eastAsiaTheme="minorHAnsi"/>
      <w:szCs w:val="21"/>
      <w:lang w:eastAsia="en-US"/>
    </w:rPr>
  </w:style>
  <w:style w:type="paragraph" w:styleId="NormalWeb">
    <w:name w:val="Normal (Web)"/>
    <w:basedOn w:val="Normal"/>
    <w:uiPriority w:val="99"/>
    <w:unhideWhenUsed/>
    <w:qFormat/>
    <w:rsid w:val="00c30eb8"/>
    <w:pPr>
      <w:spacing w:lineRule="auto" w:line="240" w:beforeAutospacing="1" w:afterAutospacing="1"/>
    </w:pPr>
    <w:rPr>
      <w:rFonts w:ascii="Times New Roman" w:hAnsi="Times New Roman" w:eastAsia="Cambria" w:cs="Times New Roman" w:eastAsiaTheme="minorHAnsi"/>
      <w:sz w:val="24"/>
      <w:szCs w:val="24"/>
    </w:rPr>
  </w:style>
  <w:style w:type="paragraph" w:styleId="Default" w:customStyle="1">
    <w:name w:val="Default"/>
    <w:qFormat/>
    <w:rsid w:val="006262b1"/>
    <w:pPr>
      <w:widowControl/>
      <w:suppressAutoHyphens w:val="true"/>
      <w:bidi w:val="0"/>
      <w:spacing w:before="0" w:after="0"/>
      <w:jc w:val="left"/>
    </w:pPr>
    <w:rPr>
      <w:rFonts w:ascii="HiddenHorzOCl" w:hAnsi="HiddenHorzOCl" w:eastAsia="Cambria" w:cs="HiddenHorzOCl" w:eastAsiaTheme="minorHAnsi"/>
      <w:color w:val="000000"/>
      <w:kern w:val="0"/>
      <w:sz w:val="24"/>
      <w:szCs w:val="24"/>
      <w:lang w:val="ru-RU" w:eastAsia="en-US" w:bidi="ar-SA"/>
    </w:rPr>
  </w:style>
  <w:style w:type="paragraph" w:styleId="Arttext" w:customStyle="1">
    <w:name w:val="arttext"/>
    <w:basedOn w:val="Normal"/>
    <w:qFormat/>
    <w:rsid w:val="00c71dc7"/>
    <w:pPr>
      <w:spacing w:lineRule="auto" w:line="240" w:beforeAutospacing="1" w:afterAutospacing="1"/>
    </w:pPr>
    <w:rPr>
      <w:rFonts w:ascii="Times New Roman" w:hAnsi="Times New Roman" w:eastAsia="Times New Roman" w:cs="Times New Roman"/>
      <w:sz w:val="24"/>
      <w:szCs w:val="24"/>
    </w:rPr>
  </w:style>
  <w:style w:type="paragraph" w:styleId="228bf8a64b8551e1msonormal" w:customStyle="1">
    <w:name w:val="228bf8a64b8551e1msonormal"/>
    <w:basedOn w:val="Normal"/>
    <w:qFormat/>
    <w:rsid w:val="00124a77"/>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Содержимое врезки"/>
    <w:basedOn w:val="Normal"/>
    <w:qFormat/>
    <w:rsid w:val="00c17646"/>
    <w:pPr/>
    <w:rPr/>
  </w:style>
  <w:style w:type="paragraph" w:styleId="ListParagraph">
    <w:name w:val="List Paragraph"/>
    <w:basedOn w:val="Normal"/>
    <w:uiPriority w:val="34"/>
    <w:qFormat/>
    <w:rsid w:val="00a93ef5"/>
    <w:pPr>
      <w:spacing w:lineRule="auto" w:line="252" w:before="0" w:after="160"/>
      <w:ind w:left="720" w:hanging="0"/>
      <w:contextualSpacing/>
    </w:pPr>
    <w:rPr>
      <w:rFonts w:ascii="Cambria" w:hAnsi="Cambria" w:eastAsia="Cambria" w:cs="" w:asciiTheme="minorHAnsi" w:cstheme="minorBidi" w:eastAsiaTheme="minorHAnsi" w:hAnsiTheme="minorHAns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f223c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E605-F498-4772-B7FC-919B2753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Application>LibreOffice/6.4.6.2$Linux_X86_64 LibreOffice_project/40$Build-2</Application>
  <Pages>1</Pages>
  <Words>301</Words>
  <Characters>2076</Characters>
  <CharactersWithSpaces>2365</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2021-12-16T08:16:00Z</dcterms:created>
  <dc:creator>Яшина Евгения Николаевна</dc:creator>
  <dc:description/>
  <dc:language>ru-RU</dc:language>
  <cp:lastModifiedBy/>
  <cp:lastPrinted>2021-12-16T06:09:00Z</cp:lastPrinted>
  <dcterms:modified xsi:type="dcterms:W3CDTF">2023-02-17T16:14:09Z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