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4178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1120" cy="146113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600" cy="14605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5pt;height:114.95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151" y="2067"/>
                      <wp:lineTo x="2151" y="3223"/>
                      <wp:lineTo x="799" y="6954"/>
                      <wp:lineTo x="934" y="15329"/>
                      <wp:lineTo x="2865" y="19466"/>
                      <wp:lineTo x="3415" y="19466"/>
                      <wp:lineTo x="4681" y="19466"/>
                      <wp:lineTo x="5897" y="19466"/>
                      <wp:lineTo x="15056" y="14964"/>
                      <wp:lineTo x="15056" y="14194"/>
                      <wp:lineTo x="18396" y="11071"/>
                      <wp:lineTo x="19475" y="9671"/>
                      <wp:lineTo x="18804" y="8130"/>
                      <wp:lineTo x="19604" y="6954"/>
                      <wp:lineTo x="17401" y="5799"/>
                      <wp:lineTo x="5089" y="2067"/>
                      <wp:lineTo x="3151" y="206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lineRule="auto" w:line="240" w:beforeAutospacing="1" w:after="80"/>
        <w:rPr/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40" w:before="52" w:after="0"/>
        <w:rPr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15.03.2023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/>
          <w:bCs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Общественность поддержала размещение энергоблоков № 3 и № 4 Курской АЭС-2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14 марта 2023 года прошло заседание «круглого стола» в рамках проведения общественных обсуждений материалов обоснования лицензии на осуществление деятельности в области использования атомной энергии «Размещение энергоблока № 3 Курской АЭС-2», включая предварительные материалы оценки воздействия на окружающую среду энергоблока № 3, и общественных обсуждений материалов обоснования лицензии на осуществление деятельности в области использования атомной энергии «Размещение энергоблока № 4 Курской АЭС-2», включая предварительные материалы оценки воздействия на окружающую среду энергоблока № 4.</w:t>
      </w:r>
    </w:p>
    <w:p>
      <w:pPr>
        <w:pStyle w:val="Normal"/>
        <w:spacing w:lineRule="auto" w:line="240" w:before="57" w:after="57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С материалами общественных обсуждений мог ознакомиться любой желающий, начиная с 13 февраля.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За «круглым столом» обсуждались вопросы безопасности размещения энергоблоков № 3 и № 4 Курской АЭС-2 для экологии и здоровья населения. В заседании приняли участие эксперты Курской АЭС, Министерства природных ресурсов Курской области, медико-санитарной части № 125 Федерального медико-биологического агентства России и представители кафедры охраны труда и окружающей среды Юго-Западного государственного университета.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 xml:space="preserve">«В проекте энергоблоков Курской АЭС-2 с ВВЭР-ТОИ детально проработаны все аспекты обеспечения безопасности. Они решаются на новом, более высоком техническом и технологическом уровнях, с возросшими степенями безопасности и эффективности, - отметил первый заместитель директора по сооружению новых блоков </w:t>
      </w:r>
      <w:r>
        <w:rPr>
          <w:rFonts w:eastAsia="Rosatom" w:cs="Arial" w:ascii="Trebuchet MS" w:hAnsi="Trebuchet MS"/>
          <w:b/>
          <w:bCs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Андрей Ошарин</w:t>
      </w: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. - На каждом из энергоблоков ВВЭР-ТОИ применены самые совершенные системы безопасности, которые действуют при всех учитываемых в проекте внешних воздействиях. Оценка воздействия на окружающую среду работы энергоблоков № 3 и № 4 выполнена по всем типам воздействия – радиационному, химическому, тепловому, электромагнитному, акустическому. Расчетные оценки ожидаемого воздействия на окружающую среду, результаты которых приведены в представленных на общественные обсуждения предварительных материалах, показывают безусловную допустимость уровня воздействия Курской АЭС-2 во всех режимах эксплуатации».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 xml:space="preserve">Проведение общественных обсуждений контролировал Наблюдательный совет, в который вошли представители Юго-Западного государственного университета и Министерства природных ресурсов Курской области. В заключении Наблюдательного совета, которое было озвучено на заседании рабочей группы по подведению итогов общественных обсуждений, </w:t>
      </w:r>
      <w:r>
        <w:rPr>
          <w:rFonts w:eastAsia="Rosatom" w:cs="Arial" w:ascii="Trebuchet MS" w:hAnsi="Trebuchet MS"/>
          <w:b/>
          <w:bCs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Диана Понкратова</w:t>
      </w: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, начальник управления охраны окружающей среды Министерства природных ресурсов Курской области, отметила, что мероприятие прошло в соответствии с регламентом, обеспечено надлежащее информирование населения об объекте общественных обсуждений. Также Диана Александровна подчеркнула, что представленные на общественные обсуждения материалы и доклады обеспечили всестороннее рассмотрение вопросов предстоящего размещения энергоблоков № 3 и № 4 Курской АЭС-2.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 xml:space="preserve">«Сооружение энергоблоков № 3 и № 4 Курской АЭС-2 означает, что курс нашего государства на развитие регионов остается неизменным. Сейчас, как известно, строятся энергоблоки № 1 и № 2. Новейших энергоблоков на курской земле будет, как и раньше, четыре. Но они будут мощнее, электроэнергии будут вырабатывать на 25 процентов больше. А это позволит и дальше развивать промышленность и в целом экономику, которая требует все больше энергии, – рассказал министр промышленности, торговли и предпринимательства Курской области </w:t>
      </w:r>
      <w:r>
        <w:rPr>
          <w:rFonts w:eastAsia="Rosatom" w:cs="Arial" w:ascii="Trebuchet MS" w:hAnsi="Trebuchet MS"/>
          <w:b/>
          <w:bCs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Михаил Аксенов</w:t>
      </w: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. – Уже к 2027 году потребление электроэнергии в энергосистеме Курской области, по нашим прогнозам, увеличится относительно нынешнего года более чем на 8 %. Чтобы обеспечивать рост потребления и в дальнейшем, надо развивать Курскую АЭС. Других способов удовлетворить потребности экономики в электроэнергии в нашей области не было и нет».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Любой заинтересованный участник «круглого стола» мог выступить в дискуссии со своим мнением и получить разъяснение по всем вопросам. Также велась онлайн-трансляция заседания на платформе официальной группы администрации города Курчатова Курской области в социальной сети.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Представители общественности, принявшие участие в «круглом столе», поддержали сооружение новых энергоблоков № 3 и № 4 станции замещения, убедившись, что строительство объектов удовлетворяет требованиям безопасности, в том числе экологической.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По результатам проведения общественных обсуждений материалы обоснования лицензии в области использования атомной энергии, включая предварительные материалы оценки воздействия на окружающую среду, будут доработаны и направлены на государственную экологическую экспертизу.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Общественные обсуждения – это обязательная процедура, закрепленная законодательством России. Она проводится перед тем, как документы направятся на государственную экспертизу и в Ростехнадзор, который выдает лицензию на ведение деятельности в области использования атомной энергии.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В настоящее время электроэнергетика, в том числе атомная, демонстрирует высокую ответственность, эффективность и устойчивость. Отрасль успешно адаптируется к новым условиям и изменениям, происходящим на глобальном рынке. Одним из главных приоритетов остаётся обеспечение уверенного, стабильного экономического роста, экономической безопасности страны, а также бесперебойного снабжения предприятий и регионов. Сегодня энергетическая инфраструктура гарантирует экономическую стабильность страны, а также бесперебойное снабжение коммунальными услугами граждан.</w:t>
      </w:r>
    </w:p>
    <w:p>
      <w:pPr>
        <w:pStyle w:val="Normal"/>
        <w:spacing w:lineRule="auto" w:line="240" w:before="52" w:after="0"/>
        <w:jc w:val="both"/>
        <w:rPr>
          <w:rFonts w:ascii="Trebuchet MS" w:hAnsi="Trebuchet MS" w:eastAsia="Rosatom" w:cs="Arial"/>
          <w:b w:val="false"/>
          <w:b w:val="false"/>
          <w:bCs w:val="false"/>
          <w:i/>
          <w:i/>
          <w:iCs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/>
          <w:iCs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Н</w:t>
      </w:r>
      <w:r>
        <w:rPr>
          <w:rFonts w:eastAsia="Rosatom" w:cs="Arial" w:ascii="Trebuchet MS" w:hAnsi="Trebuchet MS"/>
          <w:b w:val="false"/>
          <w:bCs w:val="false"/>
          <w:i/>
          <w:iCs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а Курской АЭС в работе находятся энергоблоки №№ 3, 4. Они работают на мощности, установленной диспетчерским графиком. Энергоблок №2 – в плановом ремонте. Энергоблок № 1 находится в режиме работы без генерации. Радиационный фон на атомной станции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Rosatom" w:cs="Arial"/>
          <w:b w:val="false"/>
          <w:b w:val="false"/>
          <w:bCs w:val="false"/>
          <w:i/>
          <w:i/>
          <w:iCs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/>
          <w:iCs/>
          <w:caps w:val="false"/>
          <w:smallCaps w:val="false"/>
          <w:color w:val="343433"/>
          <w:spacing w:val="0"/>
          <w:kern w:val="0"/>
          <w:sz w:val="24"/>
          <w:szCs w:val="24"/>
          <w:lang w:val="ru-RU" w:eastAsia="ru-RU" w:bidi="ar-SA"/>
        </w:rPr>
        <w:t>Оперативная информация о радиационной обстановке вблизи АЭС России и других объектов атомной отрасли представлена на сайте www.russianatom.ru.</w:t>
      </w:r>
    </w:p>
    <w:p>
      <w:pPr>
        <w:pStyle w:val="Normal"/>
        <w:spacing w:lineRule="auto" w:line="240" w:before="166" w:after="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050" w:right="891" w:header="0" w:top="625" w:footer="0" w:bottom="851" w:gutter="0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LibreOffice/6.4.6.2$Linux_X86_64 LibreOffice_project/40$Build-2</Application>
  <Pages>3</Pages>
  <Words>749</Words>
  <Characters>5448</Characters>
  <CharactersWithSpaces>6179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2023-03-15T16:14:05Z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