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пандемию было больше. Что ждет ТРЦ в условиях рекордно низкого трафика?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Чем грозит снижение трафика посетителей в крупные московские центры для инвесторов в коммерческую недвижимость? </w:t>
        <w:br w:type="textWrapping"/>
        <w:t xml:space="preserve">Основательница компании по формированию и управлению инвестиционными портфелями "Renton Yard", Дарина Солодкова рассказала о том, что ждет мир инвестиций при такой статитистике.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Согласно данным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https://trafficindex.ru</w:t>
        </w:r>
      </w:hyperlink>
      <w:r w:rsidDel="00000000" w:rsidR="00000000" w:rsidRPr="00000000">
        <w:rPr>
          <w:rtl w:val="0"/>
        </w:rPr>
        <w:t xml:space="preserve"> , по итогам первых трех месяцев 2023-го года, крупные ТЦ переживают худший период по посещаемости за последние годы.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i w:val="1"/>
          <w:rtl w:val="0"/>
        </w:rPr>
        <w:t xml:space="preserve">О чем нам говорят данные цифры? В крупных городских торговых центрах трафик обеспечивается только за счет развлекательных услуг. Потребитель использует их теперь исключительно в качестве развлечения выходного дня, времяпрепровождения с детьми, поход в кино и не более.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Магазины одежды и прочих товаров уходят в онлайн, люди уже не видят смысла в поездке в большой ТЦ, когда есть возможность заказать товары и получить их с доставкой на дом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Эксперты Renton Yard  уверены, что стабильный поток потребителей ждет районные торговые центры от 1500 м2 до 3000 м2.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Ближайшие 5-7 лет точно. Потому,что ХОРОШИЙ ТЦ районного формата, - это набор из якорного арендатора и прикассовой зоны."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Инвестор, который сейчас стоит перед выбором, куда вложиться, должен исходить из рисков.  Основной поток покупателей идет как раз таки в то, что рядом с домом, закрывает набор базовых потребностей и не отталкивает высокими ценами. Именно на это мы и делаем упор в подборе объектов в портфели инвесторов. Больше нет смысла гнаться за большими площадями, а нужно грамотно работать с арендными потоком и своей торговой площадью.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ООО “Рентон Ярд”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Формирование и управление инвестиционными портфелями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 менеджер Дарья Лаврентьева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0"/>
          <w:szCs w:val="20"/>
          <w:highlight w:val="white"/>
        </w:rPr>
      </w:pPr>
      <w:hyperlink r:id="rId7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d.lavrenteva@renton-yard.ru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fficindex.ru/" TargetMode="External"/><Relationship Id="rId7" Type="http://schemas.openxmlformats.org/officeDocument/2006/relationships/hyperlink" Target="mailto:d.lavrenteva@renton-ya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