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5" w:type="dxa"/>
        <w:tblLook w:val="04A0" w:firstRow="1" w:lastRow="0" w:firstColumn="1" w:lastColumn="0" w:noHBand="0" w:noVBand="1"/>
      </w:tblPr>
      <w:tblGrid>
        <w:gridCol w:w="5572"/>
        <w:gridCol w:w="3673"/>
      </w:tblGrid>
      <w:tr w:rsidR="007B1B2E">
        <w:tc>
          <w:tcPr>
            <w:tcW w:w="5571" w:type="dxa"/>
            <w:shd w:val="clear" w:color="auto" w:fill="auto"/>
          </w:tcPr>
          <w:p w:rsidR="007B1B2E" w:rsidRDefault="00C848A5">
            <w:pPr>
              <w:widowControl w:val="0"/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1C53155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7310" cy="1457325"/>
                      <wp:effectExtent l="0" t="0" r="0" b="0"/>
                      <wp:wrapNone/>
                      <wp:docPr id="1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6640" cy="145656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B1B2E" w:rsidRDefault="00C848A5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after="120" w:line="240" w:lineRule="auto"/>
                                    <w:ind w:left="4820" w:right="-23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 w:rsidR="007B1B2E" w:rsidRDefault="00C848A5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 w:rsidR="007B1B2E" w:rsidRDefault="007B1B2E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B1B2E" w:rsidRDefault="00C848A5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 w:rsidR="007B1B2E" w:rsidRDefault="00C848A5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5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 w:rsidR="007B1B2E" w:rsidRDefault="00C848A5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6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 w:rsidR="007B1B2E" w:rsidRDefault="00C848A5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:rsidR="007B1B2E" w:rsidRDefault="007B1B2E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C53155" id="Надпись 4" o:spid="_x0000_s1026" style="position:absolute;left:0;text-align:left;margin-left:-22.35pt;margin-top:1.1pt;width:505.3pt;height:114.75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" filled="f" stroked="f" strokeweight=".18mm">
                      <v:textbox>
                        <w:txbxContent>
                          <w:p w:rsidR="007B1B2E" w:rsidRDefault="00C848A5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after="120" w:line="240" w:lineRule="auto"/>
                              <w:ind w:left="4820" w:right="-23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 w:rsidR="007B1B2E" w:rsidRDefault="00C848A5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 w:rsidR="007B1B2E" w:rsidRDefault="007B1B2E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B1B2E" w:rsidRDefault="00C848A5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 w:rsidR="007B1B2E" w:rsidRDefault="00C848A5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 w:rsidR="007B1B2E" w:rsidRDefault="00C848A5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8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 w:rsidR="007B1B2E" w:rsidRDefault="00C848A5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 w:rsidR="007B1B2E" w:rsidRDefault="007B1B2E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587" y="2209"/>
                      <wp:lineTo x="2630" y="3365"/>
                      <wp:lineTo x="1285" y="7217"/>
                      <wp:lineTo x="1421" y="15714"/>
                      <wp:lineTo x="3316" y="19972"/>
                      <wp:lineTo x="3852" y="19972"/>
                      <wp:lineTo x="5082" y="19972"/>
                      <wp:lineTo x="6290" y="19972"/>
                      <wp:lineTo x="15235" y="15349"/>
                      <wp:lineTo x="15235" y="14578"/>
                      <wp:lineTo x="18489" y="11455"/>
                      <wp:lineTo x="19568" y="9935"/>
                      <wp:lineTo x="18896" y="8394"/>
                      <wp:lineTo x="19697" y="7217"/>
                      <wp:lineTo x="17538" y="6062"/>
                      <wp:lineTo x="5482" y="2209"/>
                      <wp:lineTo x="3587" y="2209"/>
                    </wp:wrapPolygon>
                  </wp:wrapTight>
                  <wp:docPr id="3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3" w:type="dxa"/>
            <w:shd w:val="clear" w:color="auto" w:fill="auto"/>
          </w:tcPr>
          <w:p w:rsidR="007B1B2E" w:rsidRDefault="007B1B2E">
            <w:pPr>
              <w:widowControl w:val="0"/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7B1B2E" w:rsidRDefault="007B1B2E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7B1B2E" w:rsidRDefault="007B1B2E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7B1B2E" w:rsidRDefault="00C848A5">
      <w:pPr>
        <w:spacing w:beforeAutospacing="1" w:after="80"/>
        <w:rPr>
          <w:b/>
          <w:bCs/>
        </w:rPr>
      </w:pPr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>ПРЕСС-РЕЛИЗ</w:t>
      </w:r>
    </w:p>
    <w:p w:rsidR="007B1B2E" w:rsidRDefault="00C848A5">
      <w:pPr>
        <w:spacing w:beforeAutospacing="1" w:after="80"/>
        <w:rPr>
          <w:b/>
          <w:bCs/>
        </w:rPr>
      </w:pPr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>19</w:t>
      </w:r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>.06</w:t>
      </w:r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>.2023</w:t>
      </w:r>
    </w:p>
    <w:p w:rsidR="00C848A5" w:rsidRPr="00C848A5" w:rsidRDefault="00C848A5" w:rsidP="00C848A5">
      <w:pPr>
        <w:spacing w:after="40"/>
        <w:jc w:val="both"/>
        <w:rPr>
          <w:rFonts w:ascii="Trebuchet MS" w:hAnsi="Trebuchet MS" w:cs="Times New Roman"/>
          <w:b/>
          <w:bCs/>
        </w:rPr>
      </w:pPr>
      <w:bookmarkStart w:id="0" w:name="_Hlk136869716"/>
      <w:r w:rsidRPr="00C848A5">
        <w:rPr>
          <w:rFonts w:ascii="Trebuchet MS" w:hAnsi="Trebuchet MS" w:cs="Times New Roman"/>
          <w:b/>
          <w:bCs/>
        </w:rPr>
        <w:t xml:space="preserve">С выставочной экспозицией Курской АЭС ознакомились более тысячи посетителей XXII Курской </w:t>
      </w:r>
      <w:proofErr w:type="spellStart"/>
      <w:r w:rsidRPr="00C848A5">
        <w:rPr>
          <w:rFonts w:ascii="Trebuchet MS" w:hAnsi="Trebuchet MS" w:cs="Times New Roman"/>
          <w:b/>
          <w:bCs/>
        </w:rPr>
        <w:t>Коренской</w:t>
      </w:r>
      <w:proofErr w:type="spellEnd"/>
      <w:r w:rsidRPr="00C848A5">
        <w:rPr>
          <w:rFonts w:ascii="Trebuchet MS" w:hAnsi="Trebuchet MS" w:cs="Times New Roman"/>
          <w:b/>
          <w:bCs/>
        </w:rPr>
        <w:t xml:space="preserve"> ярмарки</w:t>
      </w:r>
    </w:p>
    <w:bookmarkEnd w:id="0"/>
    <w:p w:rsidR="00C848A5" w:rsidRPr="00C848A5" w:rsidRDefault="00C848A5" w:rsidP="00C848A5">
      <w:pPr>
        <w:spacing w:before="80" w:after="80" w:line="252" w:lineRule="auto"/>
        <w:ind w:firstLine="708"/>
        <w:jc w:val="both"/>
        <w:rPr>
          <w:rFonts w:ascii="Trebuchet MS" w:eastAsia="Rosatom" w:hAnsi="Trebuchet MS" w:cs="Times New Roman"/>
          <w:strike/>
        </w:rPr>
      </w:pPr>
      <w:r w:rsidRPr="00C848A5">
        <w:rPr>
          <w:rFonts w:ascii="Trebuchet MS" w:eastAsia="Rosatom" w:hAnsi="Trebuchet MS" w:cs="Times New Roman"/>
        </w:rPr>
        <w:t xml:space="preserve">Курская </w:t>
      </w:r>
      <w:proofErr w:type="spellStart"/>
      <w:r w:rsidRPr="00C848A5">
        <w:rPr>
          <w:rFonts w:ascii="Trebuchet MS" w:eastAsia="Rosatom" w:hAnsi="Trebuchet MS" w:cs="Times New Roman"/>
        </w:rPr>
        <w:t>Коренская</w:t>
      </w:r>
      <w:proofErr w:type="spellEnd"/>
      <w:r w:rsidRPr="00C848A5">
        <w:rPr>
          <w:rFonts w:ascii="Trebuchet MS" w:eastAsia="Rosatom" w:hAnsi="Trebuchet MS" w:cs="Times New Roman"/>
        </w:rPr>
        <w:t xml:space="preserve"> ярмарка – одно из главных туристических событий Соловьиного края, которое ежегодно проводится с 2001 года. В этом году в ней приняло участие более 500 организаций и предпринимателей из 27 регионов России и стран ближнего и дальнего зарубежья. </w:t>
      </w:r>
    </w:p>
    <w:p w:rsidR="00C848A5" w:rsidRPr="00C848A5" w:rsidRDefault="00C848A5" w:rsidP="00C848A5">
      <w:pPr>
        <w:spacing w:before="120" w:after="120" w:line="252" w:lineRule="auto"/>
        <w:ind w:firstLine="708"/>
        <w:jc w:val="both"/>
        <w:rPr>
          <w:rFonts w:ascii="Trebuchet MS" w:eastAsia="Rosatom" w:hAnsi="Trebuchet MS" w:cs="Times New Roman"/>
        </w:rPr>
      </w:pPr>
      <w:r w:rsidRPr="00C848A5">
        <w:rPr>
          <w:rFonts w:ascii="Trebuchet MS" w:eastAsia="Rosatom" w:hAnsi="Trebuchet MS" w:cs="Times New Roman"/>
        </w:rPr>
        <w:t>Курская АЭС активно участвует в национальном проекте «Туризм и индустрия гостеприимства».  В настоящее время Правительство РФ и региональные власти прилагают значительные усилия для развития туристической инфраструктуры в регионах. В новых условиях туризм - одно из условий роста внутреннего рынка и устойчивости экономики в целом. Посещение АЭС – это довольно необычный опыт, позволяющий составить представление о работе энергосистемы страны, экологических аспектах выработки атомной электроэнергии, о профессиях, востребованных в ядерной энергетике.</w:t>
      </w:r>
    </w:p>
    <w:p w:rsidR="00C848A5" w:rsidRPr="00C848A5" w:rsidRDefault="00C848A5" w:rsidP="00C848A5">
      <w:pPr>
        <w:spacing w:before="80" w:after="80" w:line="252" w:lineRule="auto"/>
        <w:ind w:firstLine="708"/>
        <w:jc w:val="both"/>
        <w:rPr>
          <w:rFonts w:ascii="Trebuchet MS" w:eastAsia="Rosatom" w:hAnsi="Trebuchet MS" w:cs="Times New Roman"/>
        </w:rPr>
      </w:pPr>
      <w:r w:rsidRPr="00C848A5">
        <w:rPr>
          <w:rFonts w:ascii="Trebuchet MS" w:eastAsia="Rosatom" w:hAnsi="Trebuchet MS" w:cs="Times New Roman"/>
        </w:rPr>
        <w:t xml:space="preserve">Губернатор Курской области Роман </w:t>
      </w:r>
      <w:proofErr w:type="spellStart"/>
      <w:r w:rsidRPr="00C848A5">
        <w:rPr>
          <w:rFonts w:ascii="Trebuchet MS" w:eastAsia="Rosatom" w:hAnsi="Trebuchet MS" w:cs="Times New Roman"/>
        </w:rPr>
        <w:t>Старовойт</w:t>
      </w:r>
      <w:proofErr w:type="spellEnd"/>
      <w:r w:rsidRPr="00C848A5">
        <w:rPr>
          <w:rFonts w:ascii="Trebuchet MS" w:eastAsia="Rosatom" w:hAnsi="Trebuchet MS" w:cs="Times New Roman"/>
        </w:rPr>
        <w:t xml:space="preserve"> посетил павильон «Туризм и отдых» и ознакомился с информацией о деятельности крупнейшего генерирующего предприятия региона, об экологических аспектах выработки атомной электроэнергии, о действующих экскурсионных направлениях на его объекты.  </w:t>
      </w:r>
    </w:p>
    <w:p w:rsidR="00C848A5" w:rsidRPr="00C848A5" w:rsidRDefault="00C848A5" w:rsidP="00C848A5">
      <w:pPr>
        <w:spacing w:before="80" w:after="80" w:line="252" w:lineRule="auto"/>
        <w:ind w:firstLine="708"/>
        <w:jc w:val="both"/>
        <w:rPr>
          <w:rFonts w:ascii="Trebuchet MS" w:eastAsia="Rosatom" w:hAnsi="Trebuchet MS" w:cs="Times New Roman"/>
        </w:rPr>
      </w:pPr>
      <w:r w:rsidRPr="00C848A5">
        <w:rPr>
          <w:rFonts w:ascii="Trebuchet MS" w:eastAsia="Rosatom" w:hAnsi="Trebuchet MS" w:cs="Times New Roman"/>
        </w:rPr>
        <w:t xml:space="preserve">«Мы всегда открыты для общения и с удовольствием делимся информацией о нашей работе, – рассказал директор Курской АЭС Александр </w:t>
      </w:r>
      <w:proofErr w:type="spellStart"/>
      <w:r w:rsidRPr="00C848A5">
        <w:rPr>
          <w:rFonts w:ascii="Trebuchet MS" w:eastAsia="Rosatom" w:hAnsi="Trebuchet MS" w:cs="Times New Roman"/>
        </w:rPr>
        <w:t>Увакин</w:t>
      </w:r>
      <w:proofErr w:type="spellEnd"/>
      <w:r w:rsidRPr="00C848A5">
        <w:rPr>
          <w:rFonts w:ascii="Trebuchet MS" w:eastAsia="Rosatom" w:hAnsi="Trebuchet MS" w:cs="Times New Roman"/>
        </w:rPr>
        <w:t>. – Особый интерес посетителей вызвала информация об экскурсиях на нашу станцию. Это неудивительно, поскольку ежегодно к нам приезжают около 10 тысяч посетителей из разных регионов страны. Промышленный туризм помогает в реализации еще одной важной задачи – привлечении новых кадров в профессию. Курская АЭС проводит активную работу по профориентации школьников и студентов. Цель такой работы – сориентировать молодежь на получение технического образования и выбрать профессии, востребованные в контуре предприятий Росатома. Экскурсии на объекты атомной энергетики в рамках промышленного туризма дают об этом наглядное представление».</w:t>
      </w:r>
    </w:p>
    <w:p w:rsidR="00C848A5" w:rsidRPr="00C848A5" w:rsidRDefault="00C848A5" w:rsidP="00C848A5">
      <w:pPr>
        <w:pStyle w:val="Standard"/>
        <w:spacing w:before="80" w:after="80" w:line="252" w:lineRule="auto"/>
        <w:ind w:firstLine="708"/>
        <w:jc w:val="both"/>
        <w:rPr>
          <w:rFonts w:ascii="Trebuchet MS" w:hAnsi="Trebuchet MS" w:cs="Times New Roman"/>
          <w:sz w:val="22"/>
          <w:szCs w:val="22"/>
        </w:rPr>
      </w:pPr>
      <w:r w:rsidRPr="00C848A5">
        <w:rPr>
          <w:rFonts w:ascii="Trebuchet MS" w:hAnsi="Trebuchet MS" w:cs="Times New Roman"/>
          <w:sz w:val="22"/>
          <w:szCs w:val="22"/>
        </w:rPr>
        <w:t xml:space="preserve"> «</w:t>
      </w:r>
      <w:r w:rsidRPr="00C848A5">
        <w:rPr>
          <w:rFonts w:ascii="Trebuchet MS" w:hAnsi="Trebuchet MS" w:cs="Times New Roman"/>
          <w:color w:val="000000"/>
          <w:sz w:val="22"/>
          <w:szCs w:val="22"/>
          <w:shd w:val="clear" w:color="auto" w:fill="FFFFFF"/>
        </w:rPr>
        <w:t>Интересно было узнать о работе атомной станции и сооружении новых усовершенствованных энергоблоков. Современная молодежь сейчас с большим интересом рассматривает работу в атомной отрасли. Это престижно и перспективно</w:t>
      </w:r>
      <w:r w:rsidRPr="00C848A5">
        <w:rPr>
          <w:rFonts w:ascii="Trebuchet MS" w:hAnsi="Trebuchet MS" w:cs="Times New Roman"/>
          <w:sz w:val="22"/>
          <w:szCs w:val="22"/>
        </w:rPr>
        <w:t xml:space="preserve">», – поделилась впечатлениями посетительница выставки Юлиана </w:t>
      </w:r>
      <w:proofErr w:type="spellStart"/>
      <w:r w:rsidRPr="00C848A5">
        <w:rPr>
          <w:rFonts w:ascii="Trebuchet MS" w:hAnsi="Trebuchet MS" w:cs="Times New Roman"/>
          <w:sz w:val="22"/>
          <w:szCs w:val="22"/>
        </w:rPr>
        <w:t>Жагопарова</w:t>
      </w:r>
      <w:proofErr w:type="spellEnd"/>
      <w:r w:rsidRPr="00C848A5">
        <w:rPr>
          <w:rFonts w:ascii="Trebuchet MS" w:hAnsi="Trebuchet MS" w:cs="Times New Roman"/>
          <w:sz w:val="22"/>
          <w:szCs w:val="22"/>
        </w:rPr>
        <w:t>.</w:t>
      </w:r>
    </w:p>
    <w:p w:rsidR="00C848A5" w:rsidRPr="00C848A5" w:rsidRDefault="00C848A5" w:rsidP="00C848A5">
      <w:pPr>
        <w:spacing w:before="80" w:after="80" w:line="252" w:lineRule="auto"/>
        <w:jc w:val="both"/>
        <w:rPr>
          <w:rFonts w:ascii="Trebuchet MS" w:hAnsi="Trebuchet MS" w:cs="Times New Roman"/>
        </w:rPr>
      </w:pPr>
    </w:p>
    <w:p w:rsidR="00C848A5" w:rsidRPr="00C848A5" w:rsidRDefault="00C848A5" w:rsidP="00C848A5">
      <w:pPr>
        <w:spacing w:before="80" w:after="80" w:line="252" w:lineRule="auto"/>
        <w:jc w:val="both"/>
        <w:rPr>
          <w:rFonts w:ascii="Trebuchet MS" w:hAnsi="Trebuchet MS" w:cs="Times New Roman"/>
          <w:i/>
        </w:rPr>
      </w:pPr>
      <w:r w:rsidRPr="00C848A5">
        <w:rPr>
          <w:rFonts w:ascii="Trebuchet MS" w:hAnsi="Trebuchet MS" w:cs="Times New Roman"/>
          <w:i/>
        </w:rPr>
        <w:t>Курская АЭС – в своем роде пионер промышленного туризма Курской области. Экскурсии на наши объекты предприятия проводятся с 2003 года. За это время объекты посетителями экскурсий стали более 210 тысяч человек.</w:t>
      </w:r>
    </w:p>
    <w:p w:rsidR="00C848A5" w:rsidRPr="00C848A5" w:rsidRDefault="00C848A5" w:rsidP="00C848A5">
      <w:pPr>
        <w:pStyle w:val="Standard"/>
        <w:spacing w:before="80" w:after="80" w:line="252" w:lineRule="auto"/>
        <w:jc w:val="both"/>
        <w:rPr>
          <w:rFonts w:ascii="Trebuchet MS" w:hAnsi="Trebuchet MS" w:cs="Times New Roman"/>
          <w:i/>
          <w:strike/>
          <w:sz w:val="22"/>
          <w:szCs w:val="22"/>
        </w:rPr>
      </w:pPr>
      <w:r w:rsidRPr="00C848A5">
        <w:rPr>
          <w:rFonts w:ascii="Trebuchet MS" w:hAnsi="Trebuchet MS" w:cs="Times New Roman"/>
          <w:i/>
          <w:sz w:val="22"/>
          <w:szCs w:val="22"/>
        </w:rPr>
        <w:t xml:space="preserve">В 2021 году Курская АЭС вошла в проект по развитию промышленного туризма в Курской области, </w:t>
      </w:r>
    </w:p>
    <w:p w:rsidR="00C848A5" w:rsidRPr="00C848A5" w:rsidRDefault="00C848A5" w:rsidP="00C848A5">
      <w:pPr>
        <w:spacing w:before="80" w:after="80" w:line="252" w:lineRule="auto"/>
        <w:jc w:val="both"/>
        <w:rPr>
          <w:rFonts w:ascii="Trebuchet MS" w:eastAsia="Tahoma" w:hAnsi="Trebuchet MS" w:cs="Times New Roman"/>
          <w:i/>
          <w:kern w:val="3"/>
          <w:lang w:eastAsia="zh-CN" w:bidi="hi-IN"/>
        </w:rPr>
      </w:pPr>
      <w:r w:rsidRPr="00C848A5">
        <w:rPr>
          <w:rFonts w:ascii="Trebuchet MS" w:eastAsia="Tahoma" w:hAnsi="Trebuchet MS" w:cs="Times New Roman"/>
          <w:i/>
          <w:kern w:val="3"/>
          <w:lang w:eastAsia="zh-CN" w:bidi="hi-IN"/>
        </w:rPr>
        <w:lastRenderedPageBreak/>
        <w:t>Из всех российских АЭС Курская станция – единственная, кто представлен в Онлайн-путеводителе по промышленному туризму «Все – на завод!» Путеводитель начал работать в 2022 году. На этой площадке размещены почти</w:t>
      </w:r>
      <w:r w:rsidRPr="00C848A5">
        <w:rPr>
          <w:rFonts w:ascii="Trebuchet MS" w:eastAsia="Tahoma" w:hAnsi="Trebuchet MS" w:cs="Times New Roman"/>
          <w:bCs/>
          <w:i/>
          <w:kern w:val="3"/>
          <w:lang w:eastAsia="zh-CN" w:bidi="hi-IN"/>
        </w:rPr>
        <w:t> 50 производств</w:t>
      </w:r>
      <w:r w:rsidRPr="00C848A5">
        <w:rPr>
          <w:rFonts w:ascii="Trebuchet MS" w:eastAsia="Tahoma" w:hAnsi="Trebuchet MS" w:cs="Times New Roman"/>
          <w:i/>
          <w:kern w:val="3"/>
          <w:lang w:eastAsia="zh-CN" w:bidi="hi-IN"/>
        </w:rPr>
        <w:t xml:space="preserve"> из 20 российских регионов. </w:t>
      </w:r>
    </w:p>
    <w:p w:rsidR="00C848A5" w:rsidRPr="00C848A5" w:rsidRDefault="00C848A5" w:rsidP="00C848A5">
      <w:pPr>
        <w:spacing w:before="80" w:after="80" w:line="252" w:lineRule="auto"/>
        <w:jc w:val="both"/>
        <w:rPr>
          <w:rFonts w:ascii="Trebuchet MS" w:eastAsia="Rosatom" w:hAnsi="Trebuchet MS" w:cs="Times New Roman"/>
          <w:i/>
        </w:rPr>
      </w:pPr>
      <w:r w:rsidRPr="00C848A5">
        <w:rPr>
          <w:rFonts w:ascii="Trebuchet MS" w:eastAsia="Rosatom" w:hAnsi="Trebuchet MS" w:cs="Times New Roman"/>
          <w:bCs/>
          <w:i/>
        </w:rPr>
        <w:t xml:space="preserve">В 2023 году Курская АЭС заняла первое место в рейтинге «Промышленный туризм: лидеры России – 2023». </w:t>
      </w:r>
      <w:r w:rsidRPr="00C848A5">
        <w:rPr>
          <w:rFonts w:ascii="Trebuchet MS" w:eastAsia="Rosatom" w:hAnsi="Trebuchet MS" w:cs="Times New Roman"/>
          <w:i/>
        </w:rPr>
        <w:t xml:space="preserve">В этом рейтинге приняли участие более 250 предприятий из разных отраслей. Курская АЭС заняла лидирующее место в том числе с учетом данных о количестве посетителей. Также </w:t>
      </w:r>
      <w:proofErr w:type="spellStart"/>
      <w:r w:rsidRPr="00C848A5">
        <w:rPr>
          <w:rFonts w:ascii="Trebuchet MS" w:eastAsia="Rosatom" w:hAnsi="Trebuchet MS" w:cs="Times New Roman"/>
          <w:i/>
        </w:rPr>
        <w:t>КуАЭС</w:t>
      </w:r>
      <w:proofErr w:type="spellEnd"/>
      <w:r w:rsidRPr="00C848A5">
        <w:rPr>
          <w:rFonts w:ascii="Trebuchet MS" w:eastAsia="Rosatom" w:hAnsi="Trebuchet MS" w:cs="Times New Roman"/>
          <w:i/>
        </w:rPr>
        <w:t xml:space="preserve"> вошла в ТОП-3 компаний-лидеров и в других номинациях: «Ознакомительный туризм», «Лидеры регионов России», «Профориентационный туризм».</w:t>
      </w:r>
    </w:p>
    <w:p w:rsidR="00C848A5" w:rsidRPr="00C848A5" w:rsidRDefault="00C848A5" w:rsidP="00C848A5">
      <w:pPr>
        <w:shd w:val="clear" w:color="auto" w:fill="FFFFFF"/>
        <w:spacing w:line="240" w:lineRule="auto"/>
        <w:jc w:val="both"/>
        <w:rPr>
          <w:rFonts w:ascii="Trebuchet MS" w:eastAsia="Rosatom" w:hAnsi="Trebuchet MS" w:cs="Times New Roman"/>
          <w:i/>
        </w:rPr>
      </w:pPr>
      <w:r w:rsidRPr="00C848A5">
        <w:rPr>
          <w:rFonts w:ascii="Trebuchet MS" w:eastAsia="Rosatom" w:hAnsi="Trebuchet MS" w:cs="Times New Roman"/>
          <w:i/>
        </w:rPr>
        <w:t>В инфраструктуру промышленного туризма Курской АЭС входят не только выставочные залы, но и полномасштабные тренажёры ядерных блоков-прототипов в учебно-тренировочном центре, лаборатории, смотровая площадка сооружения новых энергоблоков Курской АЭС-2.</w:t>
      </w:r>
    </w:p>
    <w:p w:rsidR="007B1B2E" w:rsidRDefault="00C848A5" w:rsidP="00C848A5">
      <w:pPr>
        <w:spacing w:beforeAutospacing="1" w:after="60"/>
        <w:jc w:val="right"/>
        <w:rPr>
          <w:rFonts w:ascii="Trebuchet MS" w:hAnsi="Trebuchet MS"/>
          <w:b/>
          <w:color w:val="404040" w:themeColor="text1" w:themeTint="BF"/>
          <w:sz w:val="24"/>
          <w:szCs w:val="24"/>
        </w:rPr>
      </w:pPr>
      <w:r w:rsidRPr="00C848A5">
        <w:rPr>
          <w:rFonts w:ascii="Trebuchet MS" w:eastAsia="Calibri" w:hAnsi="Trebuchet MS"/>
        </w:rPr>
        <w:t xml:space="preserve"> </w:t>
      </w:r>
      <w:bookmarkStart w:id="1" w:name="_GoBack"/>
      <w:bookmarkEnd w:id="1"/>
      <w:r>
        <w:rPr>
          <w:rFonts w:ascii="Trebuchet MS" w:eastAsia="Calibri" w:hAnsi="Trebuchet MS"/>
          <w:b/>
          <w:sz w:val="24"/>
          <w:szCs w:val="24"/>
        </w:rPr>
        <w:t>Управление информации и общественных связей Курской АЭС</w:t>
      </w:r>
    </w:p>
    <w:sectPr w:rsidR="007B1B2E">
      <w:pgSz w:w="11906" w:h="16838"/>
      <w:pgMar w:top="1134" w:right="1440" w:bottom="851" w:left="1440" w:header="0" w:footer="0" w:gutter="0"/>
      <w:pgNumType w:start="1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l">
    <w:altName w:val="Cambria"/>
    <w:charset w:val="01"/>
    <w:family w:val="roman"/>
    <w:pitch w:val="default"/>
  </w:font>
  <w:font w:name="PT Astra Serif">
    <w:altName w:val="Arial"/>
    <w:charset w:val="00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2E"/>
    <w:rsid w:val="007B1B2E"/>
    <w:rsid w:val="00C8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4338"/>
  <w15:docId w15:val="{1F193400-81D9-4207-81B0-E8F669DC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3CC"/>
    <w:pPr>
      <w:spacing w:line="276" w:lineRule="auto"/>
    </w:pPr>
    <w:rPr>
      <w:sz w:val="22"/>
    </w:rPr>
  </w:style>
  <w:style w:type="paragraph" w:styleId="1">
    <w:name w:val="heading 1"/>
    <w:basedOn w:val="a"/>
    <w:next w:val="a"/>
    <w:qFormat/>
    <w:rsid w:val="00F223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223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223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223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223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223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7829CB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829CB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829CB"/>
    <w:rPr>
      <w:b/>
      <w:bCs/>
      <w:sz w:val="20"/>
      <w:szCs w:val="20"/>
    </w:rPr>
  </w:style>
  <w:style w:type="character" w:customStyle="1" w:styleId="a7">
    <w:name w:val="Текст Знак"/>
    <w:basedOn w:val="a0"/>
    <w:uiPriority w:val="99"/>
    <w:semiHidden/>
    <w:qFormat/>
    <w:rsid w:val="00F03DAF"/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-">
    <w:name w:val="Интернет-ссылка"/>
    <w:basedOn w:val="a0"/>
    <w:uiPriority w:val="99"/>
    <w:unhideWhenUsed/>
    <w:rsid w:val="00C30EB8"/>
    <w:rPr>
      <w:color w:val="0000FF"/>
      <w:u w:val="single"/>
    </w:rPr>
  </w:style>
  <w:style w:type="character" w:styleId="a8">
    <w:name w:val="Emphasis"/>
    <w:basedOn w:val="a0"/>
    <w:uiPriority w:val="20"/>
    <w:qFormat/>
    <w:rsid w:val="00794B65"/>
    <w:rPr>
      <w:i/>
      <w:iCs/>
    </w:rPr>
  </w:style>
  <w:style w:type="paragraph" w:styleId="a9">
    <w:name w:val="Title"/>
    <w:basedOn w:val="a"/>
    <w:next w:val="aa"/>
    <w:qFormat/>
    <w:rsid w:val="00F223CC"/>
    <w:pPr>
      <w:keepNext/>
      <w:keepLines/>
      <w:spacing w:after="60"/>
    </w:pPr>
    <w:rPr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Subtitle"/>
    <w:basedOn w:val="a"/>
    <w:next w:val="a"/>
    <w:qFormat/>
    <w:rsid w:val="00F223CC"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Balloon Text"/>
    <w:basedOn w:val="a"/>
    <w:uiPriority w:val="99"/>
    <w:semiHidden/>
    <w:unhideWhenUsed/>
    <w:qFormat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uiPriority w:val="99"/>
    <w:semiHidden/>
    <w:unhideWhenUsed/>
    <w:qFormat/>
    <w:rsid w:val="007829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7829CB"/>
    <w:rPr>
      <w:b/>
      <w:bCs/>
    </w:rPr>
  </w:style>
  <w:style w:type="paragraph" w:styleId="af2">
    <w:name w:val="Plain Text"/>
    <w:basedOn w:val="a"/>
    <w:uiPriority w:val="99"/>
    <w:semiHidden/>
    <w:unhideWhenUsed/>
    <w:qFormat/>
    <w:rsid w:val="00F03DAF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paragraph" w:styleId="af3">
    <w:name w:val="Normal (Web)"/>
    <w:basedOn w:val="a"/>
    <w:uiPriority w:val="99"/>
    <w:unhideWhenUsed/>
    <w:qFormat/>
    <w:rsid w:val="00C30EB8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qFormat/>
    <w:rsid w:val="006262B1"/>
    <w:rPr>
      <w:rFonts w:ascii="HiddenHorzOCl" w:eastAsiaTheme="minorHAnsi" w:hAnsi="HiddenHorzOCl" w:cs="HiddenHorzOCl"/>
      <w:color w:val="000000"/>
      <w:sz w:val="24"/>
      <w:szCs w:val="24"/>
      <w:lang w:eastAsia="en-US"/>
    </w:rPr>
  </w:style>
  <w:style w:type="paragraph" w:customStyle="1" w:styleId="arttext">
    <w:name w:val="arttext"/>
    <w:basedOn w:val="a"/>
    <w:qFormat/>
    <w:rsid w:val="00C71D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qFormat/>
    <w:rsid w:val="00124A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врезки"/>
    <w:basedOn w:val="a"/>
    <w:qFormat/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848A5"/>
    <w:pPr>
      <w:autoSpaceDN w:val="0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nergoato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c@kunp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nergoato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ac@kunpp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AFE7-904D-4DB5-A33D-67E2EECA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Евгения Николаевна</dc:creator>
  <dc:description/>
  <cp:lastModifiedBy>Cukanova</cp:lastModifiedBy>
  <cp:revision>2</cp:revision>
  <cp:lastPrinted>2021-12-16T06:09:00Z</cp:lastPrinted>
  <dcterms:created xsi:type="dcterms:W3CDTF">2023-06-19T10:12:00Z</dcterms:created>
  <dcterms:modified xsi:type="dcterms:W3CDTF">2023-06-19T10:12:00Z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