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3C416F">
        <w:tc>
          <w:tcPr>
            <w:tcW w:w="5571" w:type="dxa"/>
            <w:shd w:val="clear" w:color="auto" w:fill="auto"/>
          </w:tcPr>
          <w:p w:rsidR="003C416F" w:rsidRDefault="004F2D88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37" y="2067"/>
                      <wp:lineTo x="2579" y="3223"/>
                      <wp:lineTo x="1235" y="7076"/>
                      <wp:lineTo x="1371" y="15573"/>
                      <wp:lineTo x="3265" y="19830"/>
                      <wp:lineTo x="3802" y="19830"/>
                      <wp:lineTo x="5031" y="19830"/>
                      <wp:lineTo x="6240" y="19830"/>
                      <wp:lineTo x="15185" y="15207"/>
                      <wp:lineTo x="15185" y="14436"/>
                      <wp:lineTo x="18438" y="11314"/>
                      <wp:lineTo x="19519" y="9793"/>
                      <wp:lineTo x="18846" y="8252"/>
                      <wp:lineTo x="19647" y="7076"/>
                      <wp:lineTo x="17487" y="5920"/>
                      <wp:lineTo x="5432" y="2067"/>
                      <wp:lineTo x="3537" y="2067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C416F" w:rsidRDefault="004F2D88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3C416F" w:rsidRDefault="004F2D88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3C416F" w:rsidRDefault="003C416F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C416F" w:rsidRDefault="004F2D88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3C416F" w:rsidRDefault="004F2D88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3C416F" w:rsidRDefault="008930FD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4F2D88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3C416F" w:rsidRDefault="004F2D88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3C416F" w:rsidRDefault="003C416F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3pt;height:114.7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" filled="f" stroked="f" strokeweight=".18mm">
                      <v:textbox>
                        <w:txbxContent>
                          <w:p w:rsidR="003C416F" w:rsidRDefault="004F2D88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3C416F" w:rsidRDefault="004F2D88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3C416F" w:rsidRDefault="003C416F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16F" w:rsidRDefault="004F2D88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3C416F" w:rsidRDefault="004F2D88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3C416F" w:rsidRDefault="008930FD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 w:rsidR="004F2D88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3C416F" w:rsidRDefault="004F2D88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3C416F" w:rsidRDefault="003C416F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3C416F" w:rsidRDefault="003C416F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C416F" w:rsidRDefault="004F2D88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:rsidR="003C416F" w:rsidRDefault="008930FD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13</w:t>
      </w:r>
      <w:bookmarkStart w:id="0" w:name="_GoBack"/>
      <w:bookmarkEnd w:id="0"/>
      <w:r w:rsidR="004F2D88">
        <w:rPr>
          <w:rFonts w:ascii="Trebuchet MS" w:eastAsia="Rosatom" w:hAnsi="Trebuchet MS"/>
          <w:b/>
          <w:bCs/>
          <w:color w:val="343433"/>
          <w:sz w:val="24"/>
          <w:szCs w:val="24"/>
        </w:rPr>
        <w:t>.07.2023</w:t>
      </w:r>
    </w:p>
    <w:p w:rsidR="004F2D88" w:rsidRDefault="004F2D88">
      <w:pPr>
        <w:spacing w:before="120" w:after="120" w:line="252" w:lineRule="auto"/>
        <w:jc w:val="both"/>
        <w:rPr>
          <w:rFonts w:ascii="Trebuchet MS" w:eastAsia="Rosatom" w:hAnsi="Trebuchet MS"/>
          <w:b/>
          <w:bCs/>
          <w:color w:val="343433"/>
          <w:sz w:val="24"/>
          <w:szCs w:val="24"/>
        </w:rPr>
      </w:pPr>
      <w:r w:rsidRPr="004F2D88">
        <w:rPr>
          <w:rFonts w:ascii="Trebuchet MS" w:eastAsia="Rosatom" w:hAnsi="Trebuchet MS"/>
          <w:b/>
          <w:bCs/>
          <w:color w:val="343433"/>
          <w:sz w:val="24"/>
          <w:szCs w:val="24"/>
        </w:rPr>
        <w:t>На втором энергоблоке Курской АЭС-2 с опережением на четыре месяца введен в эксплуатацию мостовой кран кругового действия</w:t>
      </w:r>
    </w:p>
    <w:p w:rsidR="008930FD" w:rsidRPr="008930FD" w:rsidRDefault="008930FD" w:rsidP="008930FD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8930FD">
        <w:rPr>
          <w:rFonts w:ascii="Trebuchet MS" w:eastAsia="Rosatom" w:hAnsi="Trebuchet MS"/>
          <w:color w:val="343433"/>
          <w:sz w:val="24"/>
          <w:szCs w:val="24"/>
        </w:rPr>
        <w:t>На строительной площадке Курской АЭС-2 завершено очередное ключевое событие — в задании реактора второго энергоблока введен в эксплуатацию мостовой кран кругового действия проектной грузоподъемностью 390 тонн. Полярный кран (кран мостовой электрический кругового действия) — один из важнейших механизмов реакторного отделения. Относится к первому классу безопасности оборудования для АЭС и используется на всех этапах жизненного цикла станции.</w:t>
      </w:r>
    </w:p>
    <w:p w:rsidR="008930FD" w:rsidRPr="008930FD" w:rsidRDefault="008930FD" w:rsidP="008930FD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</w:p>
    <w:p w:rsidR="008930FD" w:rsidRPr="008930FD" w:rsidRDefault="008930FD" w:rsidP="008930FD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8930FD">
        <w:rPr>
          <w:rFonts w:ascii="Trebuchet MS" w:eastAsia="Rosatom" w:hAnsi="Trebuchet MS"/>
          <w:color w:val="343433"/>
          <w:sz w:val="24"/>
          <w:szCs w:val="24"/>
        </w:rPr>
        <w:t xml:space="preserve">«Полярный кран, предназначенный для выполнения большого круга задач на всех этапах жизненного цикла АЭС. С его помощью устанавливается все основное технологическое оборудование реакторного отделения, — отметил первый заместитель директора по сооружению новых энергоблоков Курской АЭС </w:t>
      </w:r>
      <w:r w:rsidRPr="008930FD">
        <w:rPr>
          <w:rFonts w:ascii="Trebuchet MS" w:eastAsia="Rosatom" w:hAnsi="Trebuchet MS"/>
          <w:b/>
          <w:color w:val="343433"/>
          <w:sz w:val="24"/>
          <w:szCs w:val="24"/>
        </w:rPr>
        <w:t xml:space="preserve">Андрей </w:t>
      </w:r>
      <w:proofErr w:type="spellStart"/>
      <w:r w:rsidRPr="008930FD">
        <w:rPr>
          <w:rFonts w:ascii="Trebuchet MS" w:eastAsia="Rosatom" w:hAnsi="Trebuchet MS"/>
          <w:b/>
          <w:color w:val="343433"/>
          <w:sz w:val="24"/>
          <w:szCs w:val="24"/>
        </w:rPr>
        <w:t>Ошарин</w:t>
      </w:r>
      <w:proofErr w:type="spellEnd"/>
      <w:r w:rsidRPr="008930FD">
        <w:rPr>
          <w:rFonts w:ascii="Trebuchet MS" w:eastAsia="Rosatom" w:hAnsi="Trebuchet MS"/>
          <w:color w:val="343433"/>
          <w:sz w:val="24"/>
          <w:szCs w:val="24"/>
        </w:rPr>
        <w:t>. — На сегодняшний день испытания пройдены, кран полностью соответствует всем требованиям и готов к выполнению транспортных операций. Никаких трудностей во время монтажа крана или его сборки не возникло».</w:t>
      </w:r>
    </w:p>
    <w:p w:rsidR="008930FD" w:rsidRPr="008930FD" w:rsidRDefault="008930FD" w:rsidP="008930FD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</w:p>
    <w:p w:rsidR="008930FD" w:rsidRPr="008930FD" w:rsidRDefault="008930FD" w:rsidP="008930FD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8930FD">
        <w:rPr>
          <w:rFonts w:ascii="Trebuchet MS" w:eastAsia="Rosatom" w:hAnsi="Trebuchet MS"/>
          <w:color w:val="343433"/>
          <w:sz w:val="24"/>
          <w:szCs w:val="24"/>
        </w:rPr>
        <w:t>По графику ввести в эксплуатацию полярный кран планировали в середине ноября 2023 года, но благодаря накопленному опыту сооружения первого энергоблока специалисты смогли выполнить все работы на четыре месяца раньше.</w:t>
      </w:r>
    </w:p>
    <w:p w:rsidR="008930FD" w:rsidRPr="008930FD" w:rsidRDefault="008930FD" w:rsidP="008930FD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</w:p>
    <w:p w:rsidR="008930FD" w:rsidRPr="008930FD" w:rsidRDefault="008930FD" w:rsidP="008930FD">
      <w:pPr>
        <w:spacing w:before="40" w:after="40" w:line="252" w:lineRule="auto"/>
        <w:jc w:val="both"/>
        <w:rPr>
          <w:rFonts w:ascii="Trebuchet MS" w:eastAsia="Rosatom" w:hAnsi="Trebuchet MS"/>
          <w:b/>
          <w:color w:val="343433"/>
          <w:sz w:val="24"/>
          <w:szCs w:val="24"/>
        </w:rPr>
      </w:pPr>
      <w:r w:rsidRPr="008930FD">
        <w:rPr>
          <w:rFonts w:ascii="Trebuchet MS" w:eastAsia="Rosatom" w:hAnsi="Trebuchet MS"/>
          <w:color w:val="343433"/>
          <w:sz w:val="24"/>
          <w:szCs w:val="24"/>
        </w:rPr>
        <w:t>«При монтаже и наладке полярного крана энергоблока № 2 учтен опыт работ, выполненных на аналогичном кране энергоблока № 1. Работы выполняли те же специалисты, что сказалось как на качестве, так и на сроках выполнения монтажных и пусконаладочных операций. Приятно видеть, когда результатом длительных совместных усилий стало работоспособное оборудование. Технологическая ценность готовности полярного крана заключается в возможности выполнения транспортировки и монтажа тяжеловесного оборудования внутри герметичного объема реакторного здания: корпуса реактора, парогенераторов, компенсатора давления. Эти работы мы будем выполнять в первом квартале 2024 года», – прокомментировал вице-президент АО «</w:t>
      </w:r>
      <w:proofErr w:type="spellStart"/>
      <w:r w:rsidRPr="008930FD">
        <w:rPr>
          <w:rFonts w:ascii="Trebuchet MS" w:eastAsia="Rosatom" w:hAnsi="Trebuchet MS"/>
          <w:color w:val="343433"/>
          <w:sz w:val="24"/>
          <w:szCs w:val="24"/>
        </w:rPr>
        <w:t>Атомстройэкспорт</w:t>
      </w:r>
      <w:proofErr w:type="spellEnd"/>
      <w:r w:rsidRPr="008930FD">
        <w:rPr>
          <w:rFonts w:ascii="Trebuchet MS" w:eastAsia="Rosatom" w:hAnsi="Trebuchet MS"/>
          <w:color w:val="343433"/>
          <w:sz w:val="24"/>
          <w:szCs w:val="24"/>
        </w:rPr>
        <w:t xml:space="preserve">», директор проекта по сооружению Курской АЭС-2 </w:t>
      </w:r>
      <w:r w:rsidRPr="008930FD">
        <w:rPr>
          <w:rFonts w:ascii="Trebuchet MS" w:eastAsia="Rosatom" w:hAnsi="Trebuchet MS"/>
          <w:b/>
          <w:color w:val="343433"/>
          <w:sz w:val="24"/>
          <w:szCs w:val="24"/>
        </w:rPr>
        <w:t xml:space="preserve">Олег </w:t>
      </w:r>
      <w:proofErr w:type="spellStart"/>
      <w:r w:rsidRPr="008930FD">
        <w:rPr>
          <w:rFonts w:ascii="Trebuchet MS" w:eastAsia="Rosatom" w:hAnsi="Trebuchet MS"/>
          <w:b/>
          <w:color w:val="343433"/>
          <w:sz w:val="24"/>
          <w:szCs w:val="24"/>
        </w:rPr>
        <w:t>Шперле</w:t>
      </w:r>
      <w:proofErr w:type="spellEnd"/>
      <w:r w:rsidRPr="008930FD">
        <w:rPr>
          <w:rFonts w:ascii="Trebuchet MS" w:eastAsia="Rosatom" w:hAnsi="Trebuchet MS"/>
          <w:b/>
          <w:color w:val="343433"/>
          <w:sz w:val="24"/>
          <w:szCs w:val="24"/>
        </w:rPr>
        <w:t>.</w:t>
      </w:r>
    </w:p>
    <w:p w:rsidR="008930FD" w:rsidRPr="008930FD" w:rsidRDefault="008930FD" w:rsidP="008930FD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</w:p>
    <w:p w:rsidR="008930FD" w:rsidRDefault="008930FD" w:rsidP="008930FD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8930FD">
        <w:rPr>
          <w:rFonts w:ascii="Trebuchet MS" w:eastAsia="Rosatom" w:hAnsi="Trebuchet MS"/>
          <w:color w:val="343433"/>
          <w:sz w:val="24"/>
          <w:szCs w:val="24"/>
        </w:rPr>
        <w:t>В монтаже крана принимали участие сразу несколько подрядных организаций: специалисты АО «</w:t>
      </w:r>
      <w:proofErr w:type="spellStart"/>
      <w:r w:rsidRPr="008930FD">
        <w:rPr>
          <w:rFonts w:ascii="Trebuchet MS" w:eastAsia="Rosatom" w:hAnsi="Trebuchet MS"/>
          <w:color w:val="343433"/>
          <w:sz w:val="24"/>
          <w:szCs w:val="24"/>
        </w:rPr>
        <w:t>Энергоспецмонтаж</w:t>
      </w:r>
      <w:proofErr w:type="spellEnd"/>
      <w:r w:rsidRPr="008930FD">
        <w:rPr>
          <w:rFonts w:ascii="Trebuchet MS" w:eastAsia="Rosatom" w:hAnsi="Trebuchet MS"/>
          <w:color w:val="343433"/>
          <w:sz w:val="24"/>
          <w:szCs w:val="24"/>
        </w:rPr>
        <w:t>» собирали механику; АК «ЭСКМ» — электрику, АО «</w:t>
      </w:r>
      <w:proofErr w:type="spellStart"/>
      <w:r w:rsidRPr="008930FD">
        <w:rPr>
          <w:rFonts w:ascii="Trebuchet MS" w:eastAsia="Rosatom" w:hAnsi="Trebuchet MS"/>
          <w:color w:val="343433"/>
          <w:sz w:val="24"/>
          <w:szCs w:val="24"/>
        </w:rPr>
        <w:t>Атомтехэнерго</w:t>
      </w:r>
      <w:proofErr w:type="spellEnd"/>
      <w:r w:rsidRPr="008930FD">
        <w:rPr>
          <w:rFonts w:ascii="Trebuchet MS" w:eastAsia="Rosatom" w:hAnsi="Trebuchet MS"/>
          <w:color w:val="343433"/>
          <w:sz w:val="24"/>
          <w:szCs w:val="24"/>
        </w:rPr>
        <w:t>» — выполняли пусконаладочные работы.</w:t>
      </w:r>
    </w:p>
    <w:p w:rsidR="003C416F" w:rsidRDefault="004F2D88" w:rsidP="008930FD">
      <w:pPr>
        <w:spacing w:before="40" w:after="40" w:line="252" w:lineRule="auto"/>
        <w:jc w:val="both"/>
        <w:rPr>
          <w:i/>
          <w:iCs/>
        </w:rPr>
      </w:pPr>
      <w:r>
        <w:rPr>
          <w:rFonts w:ascii="Trebuchet MS" w:eastAsia="Rosatom" w:hAnsi="Trebuchet MS"/>
          <w:i/>
          <w:iCs/>
          <w:color w:val="343433"/>
          <w:sz w:val="24"/>
          <w:szCs w:val="24"/>
        </w:rPr>
        <w:lastRenderedPageBreak/>
        <w:t xml:space="preserve">Развитие атомной энергетики </w:t>
      </w:r>
      <w:r>
        <w:rPr>
          <w:rFonts w:ascii="Trebuchet MS" w:eastAsia="Rosatom" w:hAnsi="Trebuchet MS"/>
          <w:color w:val="343433"/>
          <w:sz w:val="24"/>
          <w:szCs w:val="24"/>
        </w:rPr>
        <w:t>—</w:t>
      </w:r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 xml:space="preserve"> залог повышения уровня жизни граждан России. Российская промышленность наращивает выпуск необходимой техники и оборудования, укрепляя технологический суверенитет страны. Президент считает реализацию программ поддержки промышленности вопросом нацбезопасности и ставит задачу выйти на устойчивый промышленный рост в РФ, действуя динамично и напористо.</w:t>
      </w:r>
    </w:p>
    <w:p w:rsidR="003C416F" w:rsidRDefault="003C416F">
      <w:pPr>
        <w:spacing w:before="40" w:after="40" w:line="252" w:lineRule="auto"/>
        <w:jc w:val="both"/>
        <w:rPr>
          <w:i/>
          <w:iCs/>
        </w:rPr>
      </w:pPr>
    </w:p>
    <w:p w:rsidR="003C416F" w:rsidRDefault="004F2D88">
      <w:pPr>
        <w:spacing w:before="40" w:after="40" w:line="252" w:lineRule="auto"/>
        <w:jc w:val="both"/>
        <w:rPr>
          <w:i/>
          <w:iCs/>
        </w:rPr>
      </w:pPr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 xml:space="preserve">Энергоблоки №1 и №2 КуАЭС-2 поколения «3+» являются пилотными, сооружаемыми по проекту ВВЭР-ТОИ (водо-водяной энергетический реактор типовой оптимизированный </w:t>
      </w:r>
      <w:proofErr w:type="spellStart"/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>информатизированный</w:t>
      </w:r>
      <w:proofErr w:type="spellEnd"/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>). Это новый проект, созданный российскими проектировщиками (АО "</w:t>
      </w:r>
      <w:proofErr w:type="spellStart"/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>Атомэнергопроект</w:t>
      </w:r>
      <w:proofErr w:type="spellEnd"/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>") на базе технических решений проекта АЭС с ВВЭР-1200. Они обладают улучшенными технико-экономическими показателями. По сравнению с другими энергоблоками поколения «3+» проект ВВЭР-ТОИ предполагает существенное снижение стоимости сооружения, сроков и эксплуатационных расходов. Мощность каждого энергоблока выросла на 25%, до 1255 МВт по сравнению с энергоблоками действующей Курской АЭС.</w:t>
      </w:r>
    </w:p>
    <w:p w:rsidR="003C416F" w:rsidRDefault="003C416F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</w:p>
    <w:p w:rsidR="003C416F" w:rsidRDefault="004F2D88">
      <w:pPr>
        <w:spacing w:beforeAutospacing="1" w:after="60"/>
        <w:jc w:val="right"/>
        <w:rPr>
          <w:rFonts w:ascii="Trebuchet MS" w:eastAsia="Rosatom" w:hAnsi="Trebuchet MS"/>
          <w:b/>
          <w:bCs/>
          <w:color w:val="343433"/>
          <w:sz w:val="24"/>
          <w:szCs w:val="24"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3C416F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6F"/>
    <w:rsid w:val="003C416F"/>
    <w:rsid w:val="004F2D88"/>
    <w:rsid w:val="008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9548"/>
  <w15:docId w15:val="{783416F5-2416-4CA3-BF64-3DF52CF3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10">
    <w:name w:val="Гиперссылка1"/>
    <w:basedOn w:val="a0"/>
    <w:uiPriority w:val="99"/>
    <w:unhideWhenUsed/>
    <w:qFormat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styleId="a9">
    <w:name w:val="Hyperlink"/>
    <w:rPr>
      <w:color w:val="000080"/>
      <w:u w:val="single"/>
    </w:rPr>
  </w:style>
  <w:style w:type="paragraph" w:styleId="aa">
    <w:name w:val="Title"/>
    <w:basedOn w:val="a"/>
    <w:next w:val="ab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42D0-C5C4-4692-A7D3-8255A1F3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504</Words>
  <Characters>2878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Антон Бородин</cp:lastModifiedBy>
  <cp:revision>26</cp:revision>
  <cp:lastPrinted>2023-07-06T09:15:00Z</cp:lastPrinted>
  <dcterms:created xsi:type="dcterms:W3CDTF">2021-12-16T08:16:00Z</dcterms:created>
  <dcterms:modified xsi:type="dcterms:W3CDTF">2023-07-16T16:38:00Z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