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80" y="2189"/>
                      <wp:lineTo x="2622" y="3345"/>
                      <wp:lineTo x="1278" y="7198"/>
                      <wp:lineTo x="1413" y="15693"/>
                      <wp:lineTo x="3309" y="19952"/>
                      <wp:lineTo x="3845" y="19952"/>
                      <wp:lineTo x="5075" y="19952"/>
                      <wp:lineTo x="6283" y="19952"/>
                      <wp:lineTo x="15228" y="15329"/>
                      <wp:lineTo x="15228" y="14558"/>
                      <wp:lineTo x="18482" y="11436"/>
                      <wp:lineTo x="19561" y="9915"/>
                      <wp:lineTo x="18889" y="8373"/>
                      <wp:lineTo x="19690" y="7198"/>
                      <wp:lineTo x="17531" y="6042"/>
                      <wp:lineTo x="5475" y="2189"/>
                      <wp:lineTo x="3580" y="218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2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5pt;height:114.7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25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.0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7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.2023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/>
          <w:b/>
          <w:bCs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Курская АЭС: около 500 курчатовцев приняли участие в фестивале «Яркие краски – атомграду 55»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В парке «Теплый берег» города Курчатова Курская АЭС организовала развлекательно-познавательный фестиваль «Яркие краски – атомграду 55». Масштабное мероприятие стало своеобразным подарком от атомщиков горожанам по случаю предстоящего юбилея Курчатова.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«Цель сегодняшнего мероприятия — зарядить горожан настроением, позитивом. Курская АЭС при поддержке Концерна Росэнергоатом, Госкорпорации Росатом активно развивает Курчатов. Создан современный уровень городской среды, хорошо развита вся необходимая инфраструктура: дороги, парки, спортивные центры, медучреждения, места культурного досуга и активного отдыха. Меняя среду вокруг себя, мы повышаем качество жизни курчатовских семей. Пример тому — это пространство — парк «Теплый берег», где сегодня проходит большинство городских мероприятий», — отметил директор Курской АЭС </w:t>
      </w:r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Александр Увакин</w:t>
      </w: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Интерактивные площадки объединили около 500 горожан. Семейная сплоченность и художественное мастерство понадобились в семейной акции «Палатки в краску» по росписи пляжных палаток. Александ Увакин дал старт творческому состязанию, оставив на одной из палаток пожелание: «Победы!».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«Замечательный праздник, объединяющий. Наша семья заранее подготовила эскиз для росписи палатки, теперь воплощаем. Мальчишки довольны, мы с мужем тоже. Изобразили на одной стороне город, на другой — станцию: одно без другого невозможно», — поделилась мама двоих сыновей </w:t>
      </w:r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Юлия Филиппова</w:t>
      </w: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«Любим находиться на природе. Как только погода установится, пойдем в поход. Палатка теперь очень кстати. Эксклюзивная, расписная», — рассказала участница акции </w:t>
      </w:r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Марина Редичева</w:t>
      </w: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На научной полянке все желающие могли продемонстрировать креативность мысли и смелость в принятии решений. В атомной викторине — проверить свои знания по истории города, развитию Курской АЭС, строительству станции замещения.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i/>
          <w:i/>
          <w:iCs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/>
          <w:iCs/>
          <w:color w:val="343433"/>
          <w:kern w:val="0"/>
          <w:sz w:val="24"/>
          <w:szCs w:val="24"/>
          <w:lang w:val="ru-RU" w:eastAsia="ru-RU" w:bidi="ar-SA"/>
        </w:rPr>
        <w:t>Многие субъекты Федерации готовы значительно ускорить обновление социальной инфраструктуры, объектов культуры и спорта, расселение аварийного жилья, комплексное развитие сельских территорий. Благополучие, качество жизни российских семей, а значит, и демографическая ситуация прямо зависят от положения дел в социальной сфере.</w:t>
      </w:r>
    </w:p>
    <w:p>
      <w:pPr>
        <w:pStyle w:val="Normal"/>
        <w:spacing w:beforeAutospacing="1" w:after="60"/>
        <w:jc w:val="right"/>
        <w:rPr>
          <w:rFonts w:ascii="Trebuchet MS" w:hAnsi="Trebuchet MS" w:eastAsia="Rosatom" w:cs="Arial"/>
          <w:b/>
          <w:b/>
          <w:bCs/>
          <w:color w:val="343433"/>
          <w:kern w:val="0"/>
          <w:sz w:val="24"/>
          <w:szCs w:val="24"/>
          <w:lang w:val="ru-RU" w:eastAsia="ru-RU" w:bidi="ar-SA"/>
        </w:rPr>
      </w:pPr>
      <w:bookmarkStart w:id="0" w:name="_GoBack"/>
      <w:bookmarkEnd w:id="0"/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gutter="0" w:header="0" w:top="1134" w:footer="0" w:bottom="851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Hyperlink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Emphasis"/>
    <w:basedOn w:val="DefaultParagraphFont"/>
    <w:uiPriority w:val="20"/>
    <w:qFormat/>
    <w:rsid w:val="00794b65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19">
    <w:name w:val="Title"/>
    <w:basedOn w:val="Normal"/>
    <w:next w:val="Normal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ac@kunpp.ru" TargetMode="External"/><Relationship Id="rId4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6" Type="http://schemas.openxmlformats.org/officeDocument/2006/relationships/hyperlink" Target="http://www.rosenergoatom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DE3C-7CCC-4B55-924D-6638A4E8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LibreOffice/7.4.3.2$Linux_X86_64 LibreOffice_project/40$Build-2</Application>
  <AppVersion>15.0000</AppVersion>
  <DocSecurity>0</DocSecurity>
  <Pages>2</Pages>
  <Words>296</Words>
  <Characters>2194</Characters>
  <CharactersWithSpaces>2483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2023-07-25T08:43:38Z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