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45"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rPr>
                <w:rFonts w:ascii="Trebuchet MS" w:hAnsi="Trebuchet MS"/>
                <w:b/>
                <w:b/>
                <w:sz w:val="36"/>
                <w:szCs w:val="36"/>
              </w:rPr>
            </w:pPr>
            <w:r>
              <w:rPr>
                <w:rFonts w:ascii="Trebuchet MS" w:hAnsi="Trebuchet MS"/>
                <w:b/>
                <w:sz w:val="36"/>
                <w:szCs w:val="36"/>
              </w:rPr>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537" y="2067"/>
                      <wp:lineTo x="2579" y="3223"/>
                      <wp:lineTo x="1235" y="7076"/>
                      <wp:lineTo x="1371" y="15573"/>
                      <wp:lineTo x="3265" y="19830"/>
                      <wp:lineTo x="3802" y="19830"/>
                      <wp:lineTo x="5031" y="19830"/>
                      <wp:lineTo x="6240" y="19830"/>
                      <wp:lineTo x="15185" y="15207"/>
                      <wp:lineTo x="15185" y="14436"/>
                      <wp:lineTo x="18438" y="11314"/>
                      <wp:lineTo x="19519" y="9793"/>
                      <wp:lineTo x="18846" y="8252"/>
                      <wp:lineTo x="19647" y="7076"/>
                      <wp:lineTo x="17487" y="5920"/>
                      <wp:lineTo x="5432" y="2067"/>
                      <wp:lineTo x="3537" y="2067"/>
                    </wp:wrapPolygon>
                  </wp:wrapTight>
                  <wp:docPr id="1"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D:\Изображения\#DESIGN\logo\КуАЭС new logo 2020\лого для пресс-релиза-КуАЭС.png"/>
                          <pic:cNvPicPr>
                            <a:picLocks noChangeAspect="1" noChangeArrowheads="1"/>
                          </pic:cNvPicPr>
                        </pic:nvPicPr>
                        <pic:blipFill>
                          <a:blip r:embed="rId2"/>
                          <a:stretch>
                            <a:fillRect/>
                          </a:stretch>
                        </pic:blipFill>
                        <pic:spPr bwMode="auto">
                          <a:xfrm>
                            <a:off x="0" y="0"/>
                            <a:ext cx="3060700" cy="1057275"/>
                          </a:xfrm>
                          <a:prstGeom prst="rect">
                            <a:avLst/>
                          </a:prstGeom>
                        </pic:spPr>
                      </pic:pic>
                    </a:graphicData>
                  </a:graphic>
                </wp:anchor>
              </w:drawing>
              <mc:AlternateContent>
                <mc:Choice Requires="wps">
                  <w:drawing>
                    <wp:anchor behindDoc="0" distT="0" distB="0" distL="0" distR="0" simplePos="0" locked="0" layoutInCell="1" allowOverlap="1" relativeHeight="3" wp14:anchorId="41C53155">
                      <wp:simplePos x="0" y="0"/>
                      <wp:positionH relativeFrom="margin">
                        <wp:posOffset>-283845</wp:posOffset>
                      </wp:positionH>
                      <wp:positionV relativeFrom="paragraph">
                        <wp:posOffset>13970</wp:posOffset>
                      </wp:positionV>
                      <wp:extent cx="6417310" cy="1457325"/>
                      <wp:effectExtent l="0" t="0" r="0" b="0"/>
                      <wp:wrapNone/>
                      <wp:docPr id="2" name="Надпись 4"/>
                      <a:graphic xmlns:a="http://schemas.openxmlformats.org/drawingml/2006/main">
                        <a:graphicData uri="http://schemas.microsoft.com/office/word/2010/wordprocessingShape">
                          <wps:wsp>
                            <wps:cNvSpPr/>
                            <wps:spPr>
                              <a:xfrm>
                                <a:off x="0" y="0"/>
                                <a:ext cx="6417360" cy="1457280"/>
                              </a:xfrm>
                              <a:prstGeom prst="rect">
                                <a:avLst/>
                              </a:prstGeom>
                              <a:noFill/>
                              <a:ln w="6480">
                                <a:noFill/>
                              </a:ln>
                            </wps:spPr>
                            <wps:style>
                              <a:lnRef idx="0"/>
                              <a:fillRef idx="0"/>
                              <a:effectRef idx="0"/>
                              <a:fontRef idx="minor"/>
                            </wps:style>
                            <wps:txb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3">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4">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color w:val="000000"/>
                                    </w:rPr>
                                  </w:r>
                                </w:p>
                              </w:txbxContent>
                            </wps:txbx>
                            <wps:bodyPr anchor="t">
                              <a:noAutofit/>
                            </wps:bodyPr>
                          </wps:wsp>
                        </a:graphicData>
                      </a:graphic>
                    </wp:anchor>
                  </w:drawing>
                </mc:Choice>
                <mc:Fallback>
                  <w:pict>
                    <v:rect id="shape_0" ID="Надпись 4" path="m0,0l-2147483645,0l-2147483645,-2147483646l0,-2147483646xe" stroked="f" o:allowincell="t" style="position:absolute;margin-left:-22.35pt;margin-top:1.1pt;width:505.25pt;height:114.7pt;mso-wrap-style:square;v-text-anchor:top;mso-position-horizontal-relative:margin" wp14:anchorId="41C53155">
                      <v:fill o:detectmouseclick="t" on="false"/>
                      <v:stroke color="#3465a4" weight="6480"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5">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6">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color w:val="000000"/>
                              </w:rPr>
                            </w:r>
                          </w:p>
                        </w:txbxContent>
                      </v:textbox>
                      <w10:wrap type="none"/>
                    </v:rect>
                  </w:pict>
                </mc:Fallback>
              </mc:AlternateContent>
            </w:r>
          </w:p>
        </w:tc>
        <w:tc>
          <w:tcPr>
            <w:tcW w:w="3673" w:type="dxa"/>
            <w:tcBorders/>
            <w:shd w:color="auto" w:fill="auto" w:val="clear"/>
          </w:tcPr>
          <w:p>
            <w:pPr>
              <w:pStyle w:val="Normal"/>
              <w:widowControl w:val="false"/>
              <w:spacing w:before="0" w:after="0"/>
              <w:contextualSpacing/>
              <w:rPr>
                <w:b/>
                <w:b/>
                <w:sz w:val="16"/>
                <w:szCs w:val="16"/>
                <w:lang w:val="en-US"/>
              </w:rPr>
            </w:pPr>
            <w:r>
              <w:rPr>
                <w:b/>
                <w:sz w:val="16"/>
                <w:szCs w:val="16"/>
                <w:lang w:val="en-US"/>
              </w:rPr>
            </w:r>
          </w:p>
        </w:tc>
      </w:tr>
    </w:tbl>
    <w:p>
      <w:pPr>
        <w:pStyle w:val="Normal"/>
        <w:spacing w:beforeAutospacing="1" w:after="80"/>
        <w:rPr>
          <w:b/>
          <w:b/>
          <w:bCs/>
        </w:rPr>
      </w:pPr>
      <w:r>
        <w:rPr>
          <w:rFonts w:eastAsia="Rosatom" w:ascii="Trebuchet MS" w:hAnsi="Trebuchet MS"/>
          <w:b/>
          <w:bCs/>
          <w:color w:val="343433"/>
          <w:sz w:val="24"/>
          <w:szCs w:val="24"/>
        </w:rPr>
        <w:t>ПРЕСС-РЕЛИЗ</w:t>
      </w:r>
    </w:p>
    <w:p>
      <w:pPr>
        <w:pStyle w:val="Normal"/>
        <w:spacing w:before="337" w:after="137"/>
        <w:rPr>
          <w:b/>
          <w:b/>
          <w:bCs/>
        </w:rPr>
      </w:pPr>
      <w:r>
        <w:rPr>
          <w:rFonts w:eastAsia="Rosatom" w:ascii="Trebuchet MS" w:hAnsi="Trebuchet MS"/>
          <w:b/>
          <w:bCs/>
          <w:color w:val="343433"/>
          <w:sz w:val="24"/>
          <w:szCs w:val="24"/>
        </w:rPr>
        <w:t>28.07.2023</w:t>
      </w:r>
    </w:p>
    <w:p>
      <w:pPr>
        <w:pStyle w:val="Normal"/>
        <w:jc w:val="both"/>
        <w:rPr>
          <w:rFonts w:ascii="Trebuchet MS" w:hAnsi="Trebuchet MS" w:eastAsia="Rosatom"/>
          <w:b/>
          <w:b/>
          <w:bCs/>
          <w:color w:val="343433"/>
          <w:sz w:val="24"/>
          <w:szCs w:val="24"/>
        </w:rPr>
      </w:pPr>
      <w:r>
        <w:rPr>
          <w:rFonts w:eastAsia="Rosatom" w:ascii="Trebuchet MS" w:hAnsi="Trebuchet MS"/>
          <w:b/>
          <w:bCs/>
          <w:color w:val="343433"/>
          <w:sz w:val="24"/>
          <w:szCs w:val="24"/>
        </w:rPr>
        <w:t>Курская АЭС-2: в здании обессоливающей установки выработан первый куб химически обессоленной воды</w:t>
      </w:r>
    </w:p>
    <w:p>
      <w:pPr>
        <w:pStyle w:val="Normal"/>
        <w:jc w:val="both"/>
        <w:rPr>
          <w:rFonts w:ascii="Trebuchet MS" w:hAnsi="Trebuchet MS" w:eastAsia="Rosatom"/>
          <w:b/>
          <w:b/>
          <w:bCs/>
          <w:color w:val="343433"/>
          <w:sz w:val="24"/>
          <w:szCs w:val="24"/>
        </w:rPr>
      </w:pPr>
      <w:r>
        <w:rPr>
          <w:rFonts w:eastAsia="Rosatom" w:ascii="Trebuchet MS" w:hAnsi="Trebuchet MS"/>
          <w:b/>
          <w:bCs/>
          <w:color w:val="343433"/>
          <w:sz w:val="24"/>
          <w:szCs w:val="24"/>
        </w:rPr>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t>На Курской АЭС-2 успешно выполнены испытания водоподготовительной установки. Выработан первый куб химически обессоленной воды (ХОВ). В период сооружения химически обессоленная вода используется для проведения послемонтажных отмывок смонтированных трубопроводов и оборудования технологических систем. В период эксплуатации обессоленная вода будет использоваться для восполнения потерь второго контура, технологических нужд основного и вспомогательного оборудования, подпитки брызгальных бассейнов и т.д.</w:t>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t>«Безопасность энергоблоков начинается с водоподготовки. Вода из любого источника имеет в составе определенное количество растворенных солей, которые способны откладываться на оборудовании, снижая его эффективность и работоспособность, — пояснил первый заместитель директора по сооружению новых блоков Андрей Ошарин. — Подготовленная вода нужна в работе АЭС постоянно. Но во время пусковых операций или после планово-предупредительного ремонта потребность в чистой технической воде резко возрастает. Для предотвращения дефицита проектом предусмотрено два уличных бака объемом 1000 метров кубических каждый для хранения запасов ХОВ. Обессоливающие установки обеспечат подготовленной водой оба энергоблока Курской АЭС-2».</w:t>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t>Процесс подготовки воды предусматривает несколько этапов. Антибактериологическая обработка на установке ультрафиолетового обеззараживания, обессоливание на ионном уровне при помощи установки обратного осмоса, удаление свободной углекислоты в декарбонизаторах, глубокое обессоливание на установке электродеионизации. Процесс происходит непрерывно. Водоподготовительная установка будет вырабатывать 165 кубометров глубоко химобессоленной воды в час. Это можно сравнить с водоемом 10 на 8 метров и глубиной 2 метра, который будет заполняться кристально чистой водой каждый час.</w:t>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t>«На действующей станции обессоливание основано на методе ионного обмена, а на станции замещения предусмотрено применение мембранной технологии отчистки. Это современная технология, основанная на процессе прохождения жидкости под высоким давлением через полупроницаемую мембрану, поры которой пропускают молекулы воды и задерживают подавляющее большинство примесей», — рассказал начальник химического цеха Курской АЭС-2 Михаил Половков.</w:t>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r>
    </w:p>
    <w:p>
      <w:pPr>
        <w:pStyle w:val="Normal"/>
        <w:jc w:val="both"/>
        <w:rPr>
          <w:rFonts w:ascii="Trebuchet MS" w:hAnsi="Trebuchet MS" w:eastAsia="Rosatom"/>
          <w:bCs/>
          <w:color w:val="343433"/>
          <w:sz w:val="24"/>
          <w:szCs w:val="24"/>
        </w:rPr>
      </w:pPr>
      <w:r>
        <w:rPr>
          <w:rFonts w:eastAsia="Rosatom" w:ascii="Trebuchet MS" w:hAnsi="Trebuchet MS"/>
          <w:bCs/>
          <w:color w:val="343433"/>
          <w:sz w:val="24"/>
          <w:szCs w:val="24"/>
        </w:rPr>
        <w:t>Обессоленная вода будет нужна уже в сентябре 2023 года, для подготовки оборудования и трубопроводов к выполнению пролива систем на открытый реактор и испытаний систем безопасности.</w:t>
      </w:r>
    </w:p>
    <w:p>
      <w:pPr>
        <w:pStyle w:val="Normal"/>
        <w:jc w:val="both"/>
        <w:rPr>
          <w:rFonts w:ascii="Trebuchet MS" w:hAnsi="Trebuchet MS" w:eastAsia="Rosatom"/>
          <w:sz w:val="24"/>
          <w:szCs w:val="24"/>
        </w:rPr>
      </w:pPr>
      <w:r>
        <w:rPr>
          <w:rFonts w:eastAsia="Rosatom" w:ascii="Trebuchet MS" w:hAnsi="Trebuchet MS"/>
          <w:sz w:val="24"/>
          <w:szCs w:val="24"/>
        </w:rPr>
      </w:r>
    </w:p>
    <w:p>
      <w:pPr>
        <w:pStyle w:val="Normal"/>
        <w:jc w:val="both"/>
        <w:rPr>
          <w:rFonts w:ascii="Trebuchet MS" w:hAnsi="Trebuchet MS" w:eastAsia="Rosatom"/>
          <w:bCs/>
          <w:i/>
          <w:i/>
          <w:color w:val="343433"/>
          <w:sz w:val="24"/>
          <w:szCs w:val="24"/>
        </w:rPr>
      </w:pPr>
      <w:r>
        <w:rPr>
          <w:rFonts w:eastAsia="Rosatom" w:ascii="Trebuchet MS" w:hAnsi="Trebuchet MS"/>
          <w:bCs/>
          <w:i/>
          <w:color w:val="343433"/>
          <w:sz w:val="24"/>
          <w:szCs w:val="24"/>
        </w:rPr>
        <w:t>Энергетика является основой поступательного социально-экономического развития страны, снабжения промышленности и граждан. Российский топливно-энергетический комплекс продолжает реализацию новых проектов и плановое обновление мощностей. Эта работа осуществляется с учетом современных трендов цифровизации и замещения импортного оборудования. Росатом и его предприятия принимаю активное участие в этой работе.</w:t>
      </w:r>
    </w:p>
    <w:p>
      <w:pPr>
        <w:pStyle w:val="Normal"/>
        <w:jc w:val="both"/>
        <w:rPr>
          <w:rFonts w:ascii="Trebuchet MS" w:hAnsi="Trebuchet MS" w:eastAsia="Rosatom"/>
          <w:bCs/>
          <w:i/>
          <w:i/>
          <w:color w:val="343433"/>
          <w:sz w:val="24"/>
          <w:szCs w:val="24"/>
        </w:rPr>
      </w:pPr>
      <w:r>
        <w:rPr>
          <w:rFonts w:eastAsia="Rosatom" w:ascii="Trebuchet MS" w:hAnsi="Trebuchet MS"/>
          <w:bCs/>
          <w:i/>
          <w:color w:val="343433"/>
          <w:sz w:val="24"/>
          <w:szCs w:val="24"/>
        </w:rPr>
      </w:r>
    </w:p>
    <w:p>
      <w:pPr>
        <w:pStyle w:val="Normal"/>
        <w:jc w:val="both"/>
        <w:rPr>
          <w:rFonts w:ascii="Trebuchet MS" w:hAnsi="Trebuchet MS" w:eastAsia="Rosatom"/>
          <w:bCs/>
          <w:i/>
          <w:i/>
          <w:color w:val="343433"/>
          <w:sz w:val="24"/>
          <w:szCs w:val="24"/>
        </w:rPr>
      </w:pPr>
      <w:r>
        <w:rPr>
          <w:rFonts w:eastAsia="Rosatom" w:ascii="Trebuchet MS" w:hAnsi="Trebuchet MS"/>
          <w:bCs/>
          <w:i/>
          <w:color w:val="343433"/>
          <w:sz w:val="24"/>
          <w:szCs w:val="24"/>
        </w:rPr>
        <w:t>Энергоблоки №1 и №2 КуАЭС-2 поко</w:t>
      </w:r>
      <w:bookmarkStart w:id="0" w:name="_GoBack"/>
      <w:bookmarkEnd w:id="0"/>
      <w:r>
        <w:rPr>
          <w:rFonts w:eastAsia="Rosatom" w:ascii="Trebuchet MS" w:hAnsi="Trebuchet MS"/>
          <w:bCs/>
          <w:i/>
          <w:color w:val="343433"/>
          <w:sz w:val="24"/>
          <w:szCs w:val="24"/>
        </w:rPr>
        <w:t>ления «3+» являются пилотными, сооружаемыми по проекту ВВЭР-ТОИ (водо-водяной энергетический реактор типовой оптимизированный информатизированный). Это новый проект, созданный российскими проектировщиками (АО "Атомэнергопроект") на базе технических решений проекта АЭС с ВВЭР-1200. Они обладают улучшенными технико-экономическими показателями. По сравнению с другими энергоблоками поколения «3+» проект ВВЭР-ТОИ предполагает существенное снижение стоимости сооружения, сроков и эксплуатационных расходов. Мощность каждого энергоблока выросла на 25%, до 1255 МВт по сравнению с энергоблоками действующей Курской АЭС.</w:t>
      </w:r>
    </w:p>
    <w:p>
      <w:pPr>
        <w:pStyle w:val="Normal"/>
        <w:jc w:val="both"/>
        <w:rPr>
          <w:rFonts w:ascii="Trebuchet MS" w:hAnsi="Trebuchet MS" w:eastAsia="Rosatom"/>
          <w:sz w:val="24"/>
          <w:szCs w:val="24"/>
        </w:rPr>
      </w:pPr>
      <w:r>
        <w:rPr>
          <w:rFonts w:eastAsia="Rosatom" w:ascii="Trebuchet MS" w:hAnsi="Trebuchet MS"/>
          <w:sz w:val="24"/>
          <w:szCs w:val="24"/>
        </w:rPr>
      </w:r>
    </w:p>
    <w:p>
      <w:pPr>
        <w:pStyle w:val="Normal"/>
        <w:spacing w:beforeAutospacing="1" w:after="60"/>
        <w:jc w:val="right"/>
        <w:rPr>
          <w:rFonts w:ascii="Trebuchet MS" w:hAnsi="Trebuchet MS" w:eastAsia="Rosatom"/>
          <w:b/>
          <w:b/>
          <w:bCs/>
          <w:color w:val="343433"/>
          <w:sz w:val="24"/>
          <w:szCs w:val="24"/>
        </w:rPr>
      </w:pPr>
      <w:r>
        <w:rPr>
          <w:b/>
          <w:bCs/>
          <w:color w:val="343433"/>
        </w:rPr>
        <w:t>Управление информации и общественных связей Курской АЭС</w:t>
      </w:r>
    </w:p>
    <w:sectPr>
      <w:type w:val="nextPage"/>
      <w:pgSz w:w="11906" w:h="16838"/>
      <w:pgMar w:left="1440" w:right="1440" w:gutter="0" w:header="0" w:top="1134" w:footer="0" w:bottom="851"/>
      <w:pgNumType w:start="1"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 w:name="HiddenHorzOCl">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11" w:customStyle="1">
    <w:name w:val="Гиперссылка1"/>
    <w:basedOn w:val="DefaultParagraphFont"/>
    <w:uiPriority w:val="99"/>
    <w:unhideWhenUsed/>
    <w:qFormat/>
    <w:rsid w:val="00c30eb8"/>
    <w:rPr>
      <w:color w:val="0000FF"/>
      <w:u w:val="single"/>
    </w:rPr>
  </w:style>
  <w:style w:type="character" w:styleId="Style12">
    <w:name w:val="Emphasis"/>
    <w:basedOn w:val="DefaultParagraphFont"/>
    <w:uiPriority w:val="20"/>
    <w:qFormat/>
    <w:rsid w:val="00794b65"/>
    <w:rPr>
      <w:i/>
      <w:iCs/>
    </w:rPr>
  </w:style>
  <w:style w:type="character" w:styleId="Style13">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Title"/>
    <w:basedOn w:val="Normal"/>
    <w:next w:val="Style15"/>
    <w:qFormat/>
    <w:rsid w:val="00f223cc"/>
    <w:pPr>
      <w:keepNext w:val="true"/>
      <w:keepLines/>
      <w:spacing w:before="0" w:after="60"/>
    </w:pPr>
    <w:rPr>
      <w:sz w:val="52"/>
      <w:szCs w:val="52"/>
    </w:rPr>
  </w:style>
  <w:style w:type="paragraph" w:styleId="Caption">
    <w:name w:val="caption"/>
    <w:basedOn w:val="Normal"/>
    <w:qFormat/>
    <w:pPr>
      <w:suppressLineNumbers/>
      <w:spacing w:before="120" w:after="120"/>
    </w:pPr>
    <w:rPr>
      <w:rFonts w:cs="Noto Sans Devanagari"/>
      <w:i/>
      <w:iCs/>
      <w:sz w:val="24"/>
      <w:szCs w:val="24"/>
    </w:rPr>
  </w:style>
  <w:style w:type="paragraph" w:styleId="Indexheading">
    <w:name w:val="index heading"/>
    <w:basedOn w:val="Normal"/>
    <w:qFormat/>
    <w:pPr>
      <w:suppressLineNumbers/>
    </w:pPr>
    <w:rPr>
      <w:rFonts w:cs="Noto Sans Devanagari"/>
    </w:rPr>
  </w:style>
  <w:style w:type="paragraph" w:styleId="12" w:customStyle="1">
    <w:name w:val="Заголовок1"/>
    <w:basedOn w:val="Normal"/>
    <w:next w:val="Style15"/>
    <w:qFormat/>
    <w:pPr>
      <w:keepNext w:val="true"/>
      <w:spacing w:before="240" w:after="120"/>
    </w:pPr>
    <w:rPr>
      <w:rFonts w:ascii="Liberation Sans" w:hAnsi="Liberation Sans" w:eastAsia="Tahoma" w:cs="Noto Sans Devanagari"/>
      <w:sz w:val="28"/>
      <w:szCs w:val="28"/>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ac@kunpp.ru" TargetMode="External"/><Relationship Id="rId4" Type="http://schemas.openxmlformats.org/officeDocument/2006/relationships/hyperlink" Target="http://www.rosenergoatom.ru/" TargetMode="External"/><Relationship Id="rId5" Type="http://schemas.openxmlformats.org/officeDocument/2006/relationships/hyperlink" Target="mailto:iac@kunpp.ru" TargetMode="External"/><Relationship Id="rId6" Type="http://schemas.openxmlformats.org/officeDocument/2006/relationships/hyperlink" Target="http://www.rosenergoatom.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FF50-34E3-4F29-9E1F-E503BB7C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LibreOffice/7.4.3.2$Linux_X86_64 LibreOffice_project/40$Build-2</Application>
  <AppVersion>15.0000</AppVersion>
  <Pages>2</Pages>
  <Words>437</Words>
  <Characters>3398</Characters>
  <CharactersWithSpaces>3821</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2023-06-22T16:46:00Z</dcterms:created>
  <dc:creator>Яшина Евгения Николаевна</dc:creator>
  <dc:description/>
  <dc:language>ru-RU</dc:language>
  <cp:lastModifiedBy/>
  <cp:lastPrinted>2021-12-16T06:09:00Z</cp:lastPrinted>
  <dcterms:modified xsi:type="dcterms:W3CDTF">2023-07-28T09:03:50Z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