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09" y="2189"/>
                      <wp:lineTo x="2765" y="3345"/>
                      <wp:lineTo x="1421" y="7238"/>
                      <wp:lineTo x="1556" y="15796"/>
                      <wp:lineTo x="3438" y="20074"/>
                      <wp:lineTo x="3973" y="20074"/>
                      <wp:lineTo x="5189" y="20074"/>
                      <wp:lineTo x="6397" y="20074"/>
                      <wp:lineTo x="15271" y="15410"/>
                      <wp:lineTo x="15271" y="14640"/>
                      <wp:lineTo x="18496" y="11517"/>
                      <wp:lineTo x="19575" y="9956"/>
                      <wp:lineTo x="18903" y="8414"/>
                      <wp:lineTo x="19704" y="7238"/>
                      <wp:lineTo x="17559" y="6082"/>
                      <wp:lineTo x="5589" y="2189"/>
                      <wp:lineTo x="3709" y="218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635" distL="0" distR="0" simplePos="0" locked="0" layoutInCell="1" allowOverlap="1" relativeHeight="3" wp14:anchorId="3E4A857C">
                      <wp:simplePos x="0" y="0"/>
                      <wp:positionH relativeFrom="margin">
                        <wp:posOffset>-193675</wp:posOffset>
                      </wp:positionH>
                      <wp:positionV relativeFrom="paragraph">
                        <wp:posOffset>80645</wp:posOffset>
                      </wp:positionV>
                      <wp:extent cx="6416040" cy="1447165"/>
                      <wp:effectExtent l="0" t="0" r="0" b="127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4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 Курской АЭС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Style w:val="Style14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Style w:val="Style14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08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15.25pt;margin-top:6.35pt;width:505.15pt;height:113.9pt;mso-wrap-style:square;v-text-anchor:top;mso-position-horizontal-relative:margin" wp14:anchorId="3E4A857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 Курской АЭС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4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4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08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lineRule="auto" w:line="240" w:beforeAutospacing="1" w:after="80"/>
        <w:contextualSpacing/>
        <w:rPr>
          <w:rFonts w:ascii="Trebuchet MS" w:hAnsi="Trebuchet MS" w:eastAsia="Rosatom"/>
          <w:b/>
          <w:b/>
          <w:color w:val="343433"/>
          <w:sz w:val="24"/>
          <w:szCs w:val="24"/>
        </w:rPr>
      </w:pPr>
      <w:r>
        <w:rPr>
          <w:rFonts w:eastAsia="Rosatom" w:ascii="Trebuchet MS" w:hAnsi="Trebuchet MS"/>
          <w:b/>
          <w:color w:val="404040" w:themeColor="text1" w:themeTint="bf"/>
          <w:sz w:val="24"/>
          <w:szCs w:val="24"/>
        </w:rPr>
        <w:t>ПРЕСС-РЕЛИЗ</w:t>
      </w:r>
    </w:p>
    <w:p>
      <w:pPr>
        <w:pStyle w:val="Normal"/>
        <w:spacing w:lineRule="auto" w:line="240" w:before="451" w:after="251"/>
        <w:contextualSpacing/>
        <w:rPr>
          <w:rFonts w:ascii="Trebuchet MS" w:hAnsi="Trebuchet MS" w:eastAsia="Rosatom"/>
          <w:b/>
          <w:b/>
          <w:color w:val="343433"/>
          <w:sz w:val="24"/>
          <w:szCs w:val="24"/>
        </w:rPr>
      </w:pPr>
      <w:r>
        <w:rPr>
          <w:rFonts w:eastAsia="Rosatom" w:ascii="Trebuchet MS" w:hAnsi="Trebuchet MS"/>
          <w:b/>
          <w:color w:val="343433"/>
          <w:sz w:val="24"/>
          <w:szCs w:val="24"/>
        </w:rPr>
        <w:t>31</w:t>
      </w:r>
      <w:r>
        <w:rPr>
          <w:rFonts w:eastAsia="Rosatom" w:ascii="Trebuchet MS" w:hAnsi="Trebuchet MS"/>
          <w:b/>
          <w:color w:val="343433"/>
          <w:sz w:val="24"/>
          <w:szCs w:val="24"/>
        </w:rPr>
        <w:t>.07.2023</w:t>
      </w:r>
    </w:p>
    <w:p>
      <w:pPr>
        <w:pStyle w:val="Normal"/>
        <w:spacing w:lineRule="auto" w:line="240" w:before="679" w:after="479"/>
        <w:contextualSpacing/>
        <w:rPr>
          <w:rFonts w:ascii="Trebuchet MS" w:hAnsi="Trebuchet MS" w:eastAsia="Rosatom"/>
          <w:b/>
          <w:b/>
          <w:color w:val="343433"/>
          <w:sz w:val="24"/>
          <w:szCs w:val="24"/>
        </w:rPr>
      </w:pPr>
      <w:r>
        <w:rPr>
          <w:rFonts w:eastAsia="Calibri" w:cs="Times New Roman" w:ascii="Trebuchet MS" w:hAnsi="Trebuchet MS"/>
          <w:b/>
          <w:color w:val="404040" w:themeColor="text1" w:themeTint="bf"/>
          <w:sz w:val="24"/>
          <w:szCs w:val="24"/>
        </w:rPr>
        <w:t>На площадке сооружения Курской АЭС-2 прошли тренировочные пожарно-тактические учения</w:t>
      </w:r>
    </w:p>
    <w:p>
      <w:pPr>
        <w:pStyle w:val="Normal"/>
        <w:tabs>
          <w:tab w:val="clear" w:pos="708"/>
          <w:tab w:val="left" w:pos="7471" w:leader="none"/>
        </w:tabs>
        <w:spacing w:before="160" w:after="160"/>
        <w:jc w:val="both"/>
        <w:rPr>
          <w:rFonts w:ascii="Trebuchet MS" w:hAnsi="Trebuchet MS" w:eastAsia="Calibri"/>
          <w:b w:val="false"/>
          <w:b w:val="false"/>
          <w:bCs w:val="false"/>
          <w:color w:val="404040" w:themeColor="text1" w:themeTint="bf"/>
          <w:sz w:val="24"/>
          <w:szCs w:val="24"/>
        </w:rPr>
      </w:pPr>
      <w:r>
        <w:rPr>
          <w:rFonts w:eastAsia="Calibri" w:cs="Times New Roman" w:ascii="Trebuchet MS" w:hAnsi="Trebuchet MS"/>
          <w:b w:val="false"/>
          <w:bCs w:val="false"/>
          <w:color w:val="404040" w:themeColor="text1" w:themeTint="bf"/>
          <w:sz w:val="24"/>
          <w:szCs w:val="24"/>
        </w:rPr>
        <w:t>На строительной площадке Курской АЭС-2 прошли ежегодные плановые пожарно-тактические учения с участием сил и средств специального отдела №3 ФГКУ «Специальное управление ФПС № 72 МЧС России».</w:t>
      </w:r>
    </w:p>
    <w:p>
      <w:pPr>
        <w:pStyle w:val="Normal"/>
        <w:tabs>
          <w:tab w:val="clear" w:pos="708"/>
          <w:tab w:val="left" w:pos="7471" w:leader="none"/>
        </w:tabs>
        <w:spacing w:before="160" w:after="160"/>
        <w:jc w:val="both"/>
        <w:rPr>
          <w:rFonts w:ascii="Trebuchet MS" w:hAnsi="Trebuchet MS" w:eastAsia="Calibri"/>
          <w:b w:val="false"/>
          <w:b w:val="false"/>
          <w:bCs w:val="false"/>
          <w:color w:val="404040" w:themeColor="text1" w:themeTint="bf"/>
          <w:sz w:val="24"/>
          <w:szCs w:val="24"/>
        </w:rPr>
      </w:pPr>
      <w:r>
        <w:rPr>
          <w:rFonts w:eastAsia="Calibri" w:cs="Times New Roman" w:ascii="Trebuchet MS" w:hAnsi="Trebuchet MS"/>
          <w:b w:val="false"/>
          <w:bCs w:val="false"/>
          <w:color w:val="404040" w:themeColor="text1" w:themeTint="bf"/>
          <w:sz w:val="24"/>
          <w:szCs w:val="24"/>
        </w:rPr>
        <w:t>В учениях задействовали 15 человек личного состава и три единицы пожарной техники. Огнеборцы осуществили боевое развертывание, непрерывно поддерживая связь, провели разведку, после чего определили решающее направление действий по тушению и локализации условного пожара.</w:t>
      </w:r>
    </w:p>
    <w:p>
      <w:pPr>
        <w:pStyle w:val="Normal"/>
        <w:tabs>
          <w:tab w:val="clear" w:pos="708"/>
          <w:tab w:val="left" w:pos="7471" w:leader="none"/>
        </w:tabs>
        <w:spacing w:before="160" w:after="160"/>
        <w:jc w:val="both"/>
        <w:rPr>
          <w:rFonts w:ascii="Trebuchet MS" w:hAnsi="Trebuchet MS" w:eastAsia="Calibri"/>
          <w:b w:val="false"/>
          <w:b w:val="false"/>
          <w:bCs w:val="false"/>
          <w:color w:val="404040" w:themeColor="text1" w:themeTint="bf"/>
          <w:sz w:val="24"/>
          <w:szCs w:val="24"/>
        </w:rPr>
      </w:pPr>
      <w:r>
        <w:rPr>
          <w:rFonts w:eastAsia="Calibri" w:cs="Times New Roman" w:ascii="Trebuchet MS" w:hAnsi="Trebuchet MS"/>
          <w:b w:val="false"/>
          <w:bCs w:val="false"/>
          <w:color w:val="404040" w:themeColor="text1" w:themeTint="bf"/>
          <w:sz w:val="24"/>
          <w:szCs w:val="24"/>
        </w:rPr>
        <w:t xml:space="preserve">«Плановые пожарно-тактические тренировки помогают совершенствовать навыки тактического мышления и укреплять физическую подготовку пожарных подразделений, а также выработать у личного состава самообладание, выдержку и психологическую устойчивость к работе в экстремальных условиях, - отметил и.о. начальника специального отдела № 3 ФГКУ «Специальное управление ФПС № 72 МЧС России» </w:t>
      </w:r>
      <w:r>
        <w:rPr>
          <w:rFonts w:eastAsia="Calibri" w:cs="Times New Roman" w:ascii="Trebuchet MS" w:hAnsi="Trebuchet MS"/>
          <w:b/>
          <w:bCs/>
          <w:color w:val="404040" w:themeColor="text1" w:themeTint="bf"/>
          <w:sz w:val="24"/>
          <w:szCs w:val="24"/>
        </w:rPr>
        <w:t>Александр Григоренко</w:t>
      </w:r>
      <w:r>
        <w:rPr>
          <w:rFonts w:eastAsia="Calibri" w:cs="Times New Roman" w:ascii="Trebuchet MS" w:hAnsi="Trebuchet MS"/>
          <w:b w:val="false"/>
          <w:bCs w:val="false"/>
          <w:color w:val="404040" w:themeColor="text1" w:themeTint="bf"/>
          <w:sz w:val="24"/>
          <w:szCs w:val="24"/>
        </w:rPr>
        <w:t>. - Личный состав отработал приемы и способы тушения, а также вопросы работы оперативного штаба пожаротушения».</w:t>
      </w:r>
    </w:p>
    <w:p>
      <w:pPr>
        <w:pStyle w:val="Normal"/>
        <w:tabs>
          <w:tab w:val="clear" w:pos="708"/>
          <w:tab w:val="left" w:pos="7471" w:leader="none"/>
        </w:tabs>
        <w:spacing w:before="160" w:after="160"/>
        <w:jc w:val="both"/>
        <w:rPr>
          <w:rFonts w:ascii="Trebuchet MS" w:hAnsi="Trebuchet MS" w:eastAsia="Calibri"/>
          <w:b w:val="false"/>
          <w:b w:val="false"/>
          <w:bCs w:val="false"/>
          <w:color w:val="404040" w:themeColor="text1" w:themeTint="bf"/>
          <w:sz w:val="24"/>
          <w:szCs w:val="24"/>
        </w:rPr>
      </w:pPr>
      <w:r>
        <w:rPr>
          <w:rFonts w:eastAsia="Calibri" w:cs="Times New Roman" w:ascii="Trebuchet MS" w:hAnsi="Trebuchet MS"/>
          <w:b w:val="false"/>
          <w:bCs w:val="false"/>
          <w:color w:val="404040" w:themeColor="text1" w:themeTint="bf"/>
          <w:sz w:val="24"/>
          <w:szCs w:val="24"/>
        </w:rPr>
        <w:t>Важной задачей учений также стала отработка взаимодействия пожарных подразделений с инженерно-техническими работниками объекта и специальными службами. По оценке специалистов, основные цели тренировочного пожарно-тактического учения были достигнуты.</w:t>
      </w:r>
    </w:p>
    <w:p>
      <w:pPr>
        <w:pStyle w:val="Normal"/>
        <w:tabs>
          <w:tab w:val="clear" w:pos="708"/>
          <w:tab w:val="left" w:pos="7471" w:leader="none"/>
        </w:tabs>
        <w:spacing w:before="160" w:after="160"/>
        <w:jc w:val="both"/>
        <w:rPr>
          <w:rFonts w:ascii="Trebuchet MS" w:hAnsi="Trebuchet MS" w:eastAsia="Calibri"/>
          <w:b w:val="false"/>
          <w:b w:val="false"/>
          <w:bCs w:val="false"/>
          <w:color w:val="404040" w:themeColor="text1" w:themeTint="bf"/>
          <w:sz w:val="24"/>
          <w:szCs w:val="24"/>
        </w:rPr>
      </w:pPr>
      <w:r>
        <w:rPr>
          <w:rFonts w:eastAsia="Calibri" w:cs="Times New Roman" w:ascii="Trebuchet MS" w:hAnsi="Trebuchet MS"/>
          <w:b w:val="false"/>
          <w:bCs w:val="false"/>
          <w:color w:val="404040" w:themeColor="text1" w:themeTint="bf"/>
          <w:sz w:val="24"/>
          <w:szCs w:val="24"/>
        </w:rPr>
        <w:t>Сегодня Россия продолжает обеспечивать стабильную энергетическую безопасность. Энергетика является основой поступательного социально-экономического развития страны, снабжения промышленности и граждан. Отечественный топливно-энергетический комплекс работает на повышение конкурентоспособности национальной экономики, способствует развитию и благоустройству регионов страны, городов, посёлков, на улучшение качества жизни граждан. Доля низкоуглеродной электрогенерации в российской энергетике составляет уже около 40%. В перспективе, с учетом роста доли атомной генерации, она будет только расти.</w:t>
      </w:r>
    </w:p>
    <w:p>
      <w:pPr>
        <w:pStyle w:val="Normal"/>
        <w:spacing w:lineRule="auto" w:line="240" w:beforeAutospacing="1" w:after="60"/>
        <w:jc w:val="right"/>
        <w:rPr>
          <w:rFonts w:ascii="Trebuchet MS" w:hAnsi="Trebuchet MS"/>
          <w:b/>
          <w:b/>
          <w:color w:val="404040" w:themeColor="text1" w:themeTint="bf"/>
          <w:sz w:val="24"/>
          <w:szCs w:val="24"/>
        </w:rPr>
      </w:pPr>
      <w:r>
        <w:rPr>
          <w:rFonts w:eastAsia="Calibri" w:ascii="Trebuchet MS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09429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Содержимое врезки"/>
    <w:basedOn w:val="Normal"/>
    <w:qFormat/>
    <w:rsid w:val="00094290"/>
    <w:pPr>
      <w:suppressAutoHyphens w:val="true"/>
      <w:spacing w:lineRule="auto" w:line="276" w:before="0" w:after="0"/>
    </w:pPr>
    <w:rPr>
      <w:rFonts w:ascii="Arial" w:hAnsi="Arial" w:eastAsia="Arial" w:cs="Arial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LibreOffice/7.4.3.2$Linux_X86_64 LibreOffice_project/40$Build-2</Application>
  <AppVersion>15.0000</AppVersion>
  <Pages>1</Pages>
  <Words>245</Words>
  <Characters>1929</Characters>
  <CharactersWithSpaces>2158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2023-07-26T09:34:00Z</dcterms:created>
  <dc:creator>Шалчус Денис</dc:creator>
  <dc:description/>
  <dc:language>ru-RU</dc:language>
  <cp:lastModifiedBy/>
  <dcterms:modified xsi:type="dcterms:W3CDTF">2023-07-31T16:34:44Z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