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Pr="009A001C" w:rsidRDefault="007165F2" w:rsidP="00186B57">
            <w:pPr>
              <w:jc w:val="center"/>
              <w:rPr>
                <w:sz w:val="28"/>
                <w:szCs w:val="28"/>
              </w:rPr>
            </w:pPr>
          </w:p>
          <w:p w:rsidR="000B5FDD" w:rsidRPr="00537DF6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 w:rsidRPr="00537DF6">
              <w:rPr>
                <w:b/>
                <w:sz w:val="28"/>
                <w:szCs w:val="28"/>
              </w:rPr>
              <w:t>ПРЕСС-РЕЛИЗ</w:t>
            </w:r>
          </w:p>
          <w:p w:rsidR="002A12BD" w:rsidRPr="009A001C" w:rsidRDefault="002A12BD" w:rsidP="001774F7">
            <w:pPr>
              <w:jc w:val="center"/>
              <w:rPr>
                <w:sz w:val="28"/>
                <w:szCs w:val="28"/>
              </w:rPr>
            </w:pPr>
          </w:p>
          <w:p w:rsidR="00730F6D" w:rsidRPr="00537DF6" w:rsidRDefault="002A12BD" w:rsidP="00730F6D">
            <w:pPr>
              <w:jc w:val="center"/>
              <w:rPr>
                <w:b/>
                <w:sz w:val="28"/>
                <w:szCs w:val="28"/>
              </w:rPr>
            </w:pPr>
            <w:r w:rsidRPr="009A001C">
              <w:rPr>
                <w:sz w:val="28"/>
                <w:szCs w:val="28"/>
              </w:rPr>
              <w:t xml:space="preserve"> </w:t>
            </w:r>
            <w:r w:rsidRPr="00537DF6">
              <w:rPr>
                <w:b/>
                <w:sz w:val="28"/>
                <w:szCs w:val="28"/>
              </w:rPr>
              <w:t>«ТНС энерго Кубань»</w:t>
            </w:r>
            <w:r w:rsidR="00730F6D" w:rsidRPr="00537DF6">
              <w:rPr>
                <w:b/>
                <w:sz w:val="28"/>
                <w:szCs w:val="28"/>
              </w:rPr>
              <w:t xml:space="preserve"> опубликовал</w:t>
            </w:r>
            <w:r w:rsidR="00D43FE7">
              <w:rPr>
                <w:b/>
                <w:sz w:val="28"/>
                <w:szCs w:val="28"/>
              </w:rPr>
              <w:t>о</w:t>
            </w:r>
            <w:r w:rsidR="00730F6D" w:rsidRPr="00537D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0F6D" w:rsidRPr="00537DF6">
              <w:rPr>
                <w:b/>
                <w:sz w:val="28"/>
                <w:szCs w:val="28"/>
              </w:rPr>
              <w:t>антирейтинг</w:t>
            </w:r>
            <w:proofErr w:type="spellEnd"/>
            <w:r w:rsidR="00730F6D" w:rsidRPr="00537DF6">
              <w:rPr>
                <w:b/>
                <w:sz w:val="28"/>
                <w:szCs w:val="28"/>
              </w:rPr>
              <w:t xml:space="preserve"> </w:t>
            </w:r>
            <w:r w:rsidR="00065721" w:rsidRPr="00537DF6">
              <w:rPr>
                <w:b/>
                <w:sz w:val="28"/>
                <w:szCs w:val="28"/>
              </w:rPr>
              <w:t xml:space="preserve">исполнителей </w:t>
            </w:r>
            <w:r w:rsidR="002975B0">
              <w:rPr>
                <w:b/>
                <w:sz w:val="28"/>
                <w:szCs w:val="28"/>
              </w:rPr>
              <w:t xml:space="preserve">коммунальных </w:t>
            </w:r>
            <w:r w:rsidR="00065721" w:rsidRPr="00537DF6">
              <w:rPr>
                <w:b/>
                <w:sz w:val="28"/>
                <w:szCs w:val="28"/>
              </w:rPr>
              <w:t>услуг</w:t>
            </w:r>
          </w:p>
          <w:p w:rsidR="00730F6D" w:rsidRPr="009A001C" w:rsidRDefault="00730F6D" w:rsidP="00730F6D">
            <w:pPr>
              <w:jc w:val="center"/>
              <w:rPr>
                <w:sz w:val="28"/>
                <w:szCs w:val="28"/>
              </w:rPr>
            </w:pPr>
          </w:p>
          <w:p w:rsidR="00954A6D" w:rsidRDefault="005C6A12" w:rsidP="002975B0">
            <w:pPr>
              <w:ind w:firstLine="709"/>
              <w:jc w:val="both"/>
              <w:rPr>
                <w:sz w:val="28"/>
                <w:szCs w:val="28"/>
              </w:rPr>
            </w:pPr>
            <w:r w:rsidRPr="00537DF6">
              <w:rPr>
                <w:i/>
                <w:sz w:val="28"/>
                <w:szCs w:val="28"/>
              </w:rPr>
              <w:t>31</w:t>
            </w:r>
            <w:r w:rsidR="00730F6D" w:rsidRPr="00537DF6">
              <w:rPr>
                <w:i/>
                <w:sz w:val="28"/>
                <w:szCs w:val="28"/>
              </w:rPr>
              <w:t xml:space="preserve"> августа 2023 года, г. Краснодар.</w:t>
            </w:r>
            <w:r w:rsidR="00730F6D" w:rsidRPr="00281C6A">
              <w:rPr>
                <w:sz w:val="28"/>
                <w:szCs w:val="28"/>
              </w:rPr>
              <w:t xml:space="preserve"> </w:t>
            </w:r>
            <w:r w:rsidR="00730F6D" w:rsidRPr="00730F6D">
              <w:rPr>
                <w:sz w:val="28"/>
                <w:szCs w:val="28"/>
              </w:rPr>
              <w:t xml:space="preserve">По состоянию на 1 </w:t>
            </w:r>
            <w:r w:rsidR="00C71E36">
              <w:rPr>
                <w:sz w:val="28"/>
                <w:szCs w:val="28"/>
              </w:rPr>
              <w:t>августа</w:t>
            </w:r>
            <w:r w:rsidR="00730F6D" w:rsidRPr="00730F6D">
              <w:rPr>
                <w:sz w:val="28"/>
                <w:szCs w:val="28"/>
              </w:rPr>
              <w:t xml:space="preserve"> 2023 года в Краснодарском крае </w:t>
            </w:r>
            <w:r w:rsidR="00C71E36">
              <w:rPr>
                <w:sz w:val="28"/>
                <w:szCs w:val="28"/>
              </w:rPr>
              <w:t xml:space="preserve">более 500 </w:t>
            </w:r>
            <w:r w:rsidR="002975B0">
              <w:rPr>
                <w:sz w:val="28"/>
                <w:szCs w:val="28"/>
              </w:rPr>
              <w:t>управляющих компаний</w:t>
            </w:r>
            <w:r w:rsidR="00730F6D" w:rsidRPr="00730F6D">
              <w:rPr>
                <w:sz w:val="28"/>
                <w:szCs w:val="28"/>
              </w:rPr>
              <w:t xml:space="preserve"> имеют просроченную задолженность по оплате электроэнергии за </w:t>
            </w:r>
            <w:r w:rsidR="002975B0">
              <w:rPr>
                <w:sz w:val="28"/>
                <w:szCs w:val="28"/>
              </w:rPr>
              <w:t>три</w:t>
            </w:r>
            <w:r w:rsidR="00730F6D" w:rsidRPr="00730F6D">
              <w:rPr>
                <w:sz w:val="28"/>
                <w:szCs w:val="28"/>
              </w:rPr>
              <w:t xml:space="preserve"> и более периода. Суммарно они недоплатили </w:t>
            </w:r>
            <w:r w:rsidR="00C71E36">
              <w:rPr>
                <w:sz w:val="28"/>
                <w:szCs w:val="28"/>
              </w:rPr>
              <w:t>гарантирующему поставщику</w:t>
            </w:r>
            <w:r w:rsidR="00730F6D" w:rsidRPr="00730F6D">
              <w:rPr>
                <w:sz w:val="28"/>
                <w:szCs w:val="28"/>
              </w:rPr>
              <w:t xml:space="preserve"> </w:t>
            </w:r>
            <w:r w:rsidR="002975B0">
              <w:rPr>
                <w:sz w:val="28"/>
                <w:szCs w:val="28"/>
              </w:rPr>
              <w:t>свыше</w:t>
            </w:r>
            <w:r w:rsidR="00730F6D" w:rsidRPr="00730F6D">
              <w:rPr>
                <w:sz w:val="28"/>
                <w:szCs w:val="28"/>
              </w:rPr>
              <w:t xml:space="preserve"> </w:t>
            </w:r>
            <w:r w:rsidR="00537DF6">
              <w:rPr>
                <w:sz w:val="28"/>
                <w:szCs w:val="28"/>
              </w:rPr>
              <w:br/>
            </w:r>
            <w:r w:rsidR="00C71E36">
              <w:rPr>
                <w:sz w:val="28"/>
                <w:szCs w:val="28"/>
              </w:rPr>
              <w:t>1 млрд 224</w:t>
            </w:r>
            <w:r w:rsidR="00730F6D" w:rsidRPr="00730F6D">
              <w:rPr>
                <w:sz w:val="28"/>
                <w:szCs w:val="28"/>
              </w:rPr>
              <w:t xml:space="preserve"> млн рублей. </w:t>
            </w:r>
          </w:p>
          <w:p w:rsidR="00730F6D" w:rsidRPr="00730F6D" w:rsidRDefault="00730F6D" w:rsidP="002975B0">
            <w:pPr>
              <w:ind w:firstLine="709"/>
              <w:jc w:val="both"/>
              <w:rPr>
                <w:sz w:val="28"/>
                <w:szCs w:val="28"/>
              </w:rPr>
            </w:pPr>
            <w:r w:rsidRPr="00730F6D">
              <w:rPr>
                <w:sz w:val="28"/>
                <w:szCs w:val="28"/>
              </w:rPr>
              <w:t xml:space="preserve">В пятерку </w:t>
            </w:r>
            <w:proofErr w:type="spellStart"/>
            <w:r w:rsidRPr="00730F6D">
              <w:rPr>
                <w:sz w:val="28"/>
                <w:szCs w:val="28"/>
              </w:rPr>
              <w:t>антирейтинга</w:t>
            </w:r>
            <w:proofErr w:type="spellEnd"/>
            <w:r w:rsidRPr="00730F6D">
              <w:rPr>
                <w:sz w:val="28"/>
                <w:szCs w:val="28"/>
              </w:rPr>
              <w:t xml:space="preserve"> по уровню платежной дисциплины вошли: </w:t>
            </w:r>
          </w:p>
          <w:p w:rsidR="00C71E36" w:rsidRDefault="00C71E36" w:rsidP="002975B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71E36">
              <w:rPr>
                <w:sz w:val="28"/>
                <w:szCs w:val="28"/>
              </w:rPr>
              <w:t xml:space="preserve"> ООО «УК «СОЧИ» (28,1</w:t>
            </w:r>
            <w:r>
              <w:rPr>
                <w:sz w:val="28"/>
                <w:szCs w:val="28"/>
              </w:rPr>
              <w:t xml:space="preserve"> млн руб</w:t>
            </w:r>
            <w:r w:rsidR="002975B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br/>
            </w:r>
            <w:r w:rsidR="002975B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-</w:t>
            </w:r>
            <w:r w:rsidRPr="00C71E36">
              <w:rPr>
                <w:sz w:val="28"/>
                <w:szCs w:val="28"/>
              </w:rPr>
              <w:t xml:space="preserve"> ООО «УК Ваш Дом» (21,9</w:t>
            </w:r>
            <w:r w:rsidR="00D34BD7">
              <w:rPr>
                <w:sz w:val="28"/>
                <w:szCs w:val="28"/>
              </w:rPr>
              <w:t xml:space="preserve"> млн руб</w:t>
            </w:r>
            <w:r w:rsidR="002975B0">
              <w:rPr>
                <w:sz w:val="28"/>
                <w:szCs w:val="28"/>
              </w:rPr>
              <w:t>лей</w:t>
            </w:r>
            <w:r w:rsidR="00D34BD7">
              <w:rPr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br/>
            </w:r>
            <w:r w:rsidR="002975B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- </w:t>
            </w:r>
            <w:r w:rsidRPr="00C71E36">
              <w:rPr>
                <w:sz w:val="28"/>
                <w:szCs w:val="28"/>
              </w:rPr>
              <w:t>ООО</w:t>
            </w:r>
            <w:r w:rsidR="00D34BD7">
              <w:rPr>
                <w:sz w:val="28"/>
                <w:szCs w:val="28"/>
              </w:rPr>
              <w:t xml:space="preserve"> «Управляющая компания «РЭУ-17» (13,3 млн </w:t>
            </w:r>
            <w:r w:rsidR="00B112B8">
              <w:rPr>
                <w:sz w:val="28"/>
                <w:szCs w:val="28"/>
              </w:rPr>
              <w:t>рублей</w:t>
            </w:r>
            <w:r w:rsidR="00D34BD7">
              <w:rPr>
                <w:sz w:val="28"/>
                <w:szCs w:val="28"/>
              </w:rPr>
              <w:t>);</w:t>
            </w:r>
            <w:r w:rsidRPr="00C71E36">
              <w:rPr>
                <w:sz w:val="28"/>
                <w:szCs w:val="28"/>
              </w:rPr>
              <w:t> </w:t>
            </w:r>
          </w:p>
          <w:p w:rsidR="00D34BD7" w:rsidRPr="00C71E36" w:rsidRDefault="00D34BD7" w:rsidP="002975B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75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 «</w:t>
            </w:r>
            <w:proofErr w:type="spellStart"/>
            <w:r w:rsidR="002975B0">
              <w:rPr>
                <w:sz w:val="28"/>
                <w:szCs w:val="28"/>
              </w:rPr>
              <w:t>РемСтройСервис</w:t>
            </w:r>
            <w:proofErr w:type="spellEnd"/>
            <w:r w:rsidR="002975B0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10,6 млн</w:t>
            </w:r>
            <w:r w:rsidR="002975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2975B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);</w:t>
            </w:r>
          </w:p>
          <w:p w:rsidR="00730F6D" w:rsidRPr="00730F6D" w:rsidRDefault="00C71E36" w:rsidP="002975B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1E36">
              <w:rPr>
                <w:sz w:val="28"/>
                <w:szCs w:val="28"/>
              </w:rPr>
              <w:t>ООО «</w:t>
            </w:r>
            <w:r w:rsidR="00D34BD7">
              <w:rPr>
                <w:sz w:val="28"/>
                <w:szCs w:val="28"/>
              </w:rPr>
              <w:t>Нужный Сервис</w:t>
            </w:r>
            <w:r w:rsidRPr="00C71E36">
              <w:rPr>
                <w:sz w:val="28"/>
                <w:szCs w:val="28"/>
              </w:rPr>
              <w:t>» (</w:t>
            </w:r>
            <w:r w:rsidR="00D34BD7">
              <w:rPr>
                <w:sz w:val="28"/>
                <w:szCs w:val="28"/>
              </w:rPr>
              <w:t>7,8</w:t>
            </w:r>
            <w:r w:rsidRPr="00C71E36">
              <w:rPr>
                <w:sz w:val="28"/>
                <w:szCs w:val="28"/>
              </w:rPr>
              <w:t xml:space="preserve"> млн руб</w:t>
            </w:r>
            <w:r w:rsidR="002975B0">
              <w:rPr>
                <w:sz w:val="28"/>
                <w:szCs w:val="28"/>
              </w:rPr>
              <w:t>лей</w:t>
            </w:r>
            <w:r w:rsidRPr="00C71E36">
              <w:rPr>
                <w:sz w:val="28"/>
                <w:szCs w:val="28"/>
              </w:rPr>
              <w:t>). </w:t>
            </w:r>
          </w:p>
          <w:p w:rsidR="00730F6D" w:rsidRPr="00730F6D" w:rsidRDefault="002975B0" w:rsidP="002975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30F6D" w:rsidRPr="00730F6D">
              <w:rPr>
                <w:sz w:val="28"/>
                <w:szCs w:val="28"/>
              </w:rPr>
              <w:t xml:space="preserve"> Республике Адыгея суммарная задолженность </w:t>
            </w:r>
            <w:r w:rsidR="00BD70E1">
              <w:rPr>
                <w:sz w:val="28"/>
                <w:szCs w:val="28"/>
              </w:rPr>
              <w:t>управляющих компаний</w:t>
            </w:r>
            <w:r w:rsidR="00730F6D" w:rsidRPr="00730F6D">
              <w:rPr>
                <w:sz w:val="28"/>
                <w:szCs w:val="28"/>
              </w:rPr>
              <w:t xml:space="preserve"> перед гарантирующим поставщиком составляет</w:t>
            </w:r>
            <w:r w:rsidR="0038429B" w:rsidRPr="009A001C">
              <w:rPr>
                <w:sz w:val="28"/>
                <w:szCs w:val="28"/>
              </w:rPr>
              <w:t xml:space="preserve"> </w:t>
            </w:r>
            <w:r w:rsidR="00537DF6">
              <w:rPr>
                <w:sz w:val="28"/>
                <w:szCs w:val="28"/>
              </w:rPr>
              <w:br/>
            </w:r>
            <w:r w:rsidR="0038429B" w:rsidRPr="0038429B">
              <w:rPr>
                <w:sz w:val="28"/>
                <w:szCs w:val="28"/>
              </w:rPr>
              <w:t>157,5</w:t>
            </w:r>
            <w:r w:rsidR="0038429B">
              <w:rPr>
                <w:sz w:val="28"/>
                <w:szCs w:val="28"/>
              </w:rPr>
              <w:t xml:space="preserve"> млн рублей. </w:t>
            </w:r>
            <w:proofErr w:type="spellStart"/>
            <w:r>
              <w:rPr>
                <w:sz w:val="28"/>
                <w:szCs w:val="28"/>
              </w:rPr>
              <w:t>Антирейтинг</w:t>
            </w:r>
            <w:proofErr w:type="spellEnd"/>
            <w:r>
              <w:rPr>
                <w:sz w:val="28"/>
                <w:szCs w:val="28"/>
              </w:rPr>
              <w:t xml:space="preserve"> региона </w:t>
            </w:r>
            <w:r w:rsidRPr="00CA2690">
              <w:rPr>
                <w:sz w:val="28"/>
                <w:szCs w:val="28"/>
              </w:rPr>
              <w:t>возглавили</w:t>
            </w:r>
            <w:r w:rsidR="00730F6D" w:rsidRPr="00CA2690">
              <w:rPr>
                <w:sz w:val="28"/>
                <w:szCs w:val="28"/>
              </w:rPr>
              <w:t>:</w:t>
            </w:r>
          </w:p>
          <w:p w:rsidR="0038429B" w:rsidRPr="0038429B" w:rsidRDefault="002975B0" w:rsidP="002975B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>-Строй» (18,6 млн</w:t>
            </w:r>
            <w:r w:rsidR="0038429B" w:rsidRPr="0038429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="0038429B" w:rsidRPr="0038429B">
              <w:rPr>
                <w:sz w:val="28"/>
                <w:szCs w:val="28"/>
              </w:rPr>
              <w:t>);</w:t>
            </w:r>
          </w:p>
          <w:p w:rsidR="0038429B" w:rsidRPr="0038429B" w:rsidRDefault="0038429B" w:rsidP="002975B0">
            <w:pPr>
              <w:ind w:firstLine="709"/>
              <w:rPr>
                <w:sz w:val="28"/>
                <w:szCs w:val="28"/>
              </w:rPr>
            </w:pPr>
            <w:r w:rsidRPr="0038429B">
              <w:rPr>
                <w:sz w:val="28"/>
                <w:szCs w:val="28"/>
              </w:rPr>
              <w:t>-</w:t>
            </w:r>
            <w:r w:rsidR="002975B0">
              <w:rPr>
                <w:sz w:val="28"/>
                <w:szCs w:val="28"/>
              </w:rPr>
              <w:t> </w:t>
            </w:r>
            <w:r w:rsidRPr="0038429B">
              <w:rPr>
                <w:sz w:val="28"/>
                <w:szCs w:val="28"/>
              </w:rPr>
              <w:t>О</w:t>
            </w:r>
            <w:r w:rsidR="002975B0">
              <w:rPr>
                <w:sz w:val="28"/>
                <w:szCs w:val="28"/>
              </w:rPr>
              <w:t>ОО УК «ЖЭК Адыгейский» (5,9 млн</w:t>
            </w:r>
            <w:r w:rsidRPr="0038429B">
              <w:rPr>
                <w:sz w:val="28"/>
                <w:szCs w:val="28"/>
              </w:rPr>
              <w:t xml:space="preserve"> руб</w:t>
            </w:r>
            <w:r w:rsidR="002975B0">
              <w:rPr>
                <w:sz w:val="28"/>
                <w:szCs w:val="28"/>
              </w:rPr>
              <w:t>лей</w:t>
            </w:r>
            <w:r w:rsidRPr="0038429B">
              <w:rPr>
                <w:sz w:val="28"/>
                <w:szCs w:val="28"/>
              </w:rPr>
              <w:t>);</w:t>
            </w:r>
          </w:p>
          <w:p w:rsidR="0038429B" w:rsidRPr="0038429B" w:rsidRDefault="0038429B" w:rsidP="002975B0">
            <w:pPr>
              <w:ind w:firstLine="709"/>
              <w:rPr>
                <w:sz w:val="28"/>
                <w:szCs w:val="28"/>
              </w:rPr>
            </w:pPr>
            <w:r w:rsidRPr="0038429B">
              <w:rPr>
                <w:sz w:val="28"/>
                <w:szCs w:val="28"/>
              </w:rPr>
              <w:t xml:space="preserve">- ООО </w:t>
            </w:r>
            <w:r w:rsidR="00FB0FF7">
              <w:rPr>
                <w:sz w:val="28"/>
                <w:szCs w:val="28"/>
              </w:rPr>
              <w:t xml:space="preserve">УК </w:t>
            </w:r>
            <w:r w:rsidRPr="0038429B">
              <w:rPr>
                <w:sz w:val="28"/>
                <w:szCs w:val="28"/>
              </w:rPr>
              <w:t>«</w:t>
            </w:r>
            <w:proofErr w:type="spellStart"/>
            <w:r w:rsidR="00FB0FF7">
              <w:rPr>
                <w:sz w:val="28"/>
                <w:szCs w:val="28"/>
              </w:rPr>
              <w:t>Комунхоз</w:t>
            </w:r>
            <w:proofErr w:type="spellEnd"/>
            <w:r w:rsidR="00FB0FF7">
              <w:rPr>
                <w:sz w:val="28"/>
                <w:szCs w:val="28"/>
              </w:rPr>
              <w:t>» (5,1</w:t>
            </w:r>
            <w:r w:rsidR="002975B0">
              <w:rPr>
                <w:sz w:val="28"/>
                <w:szCs w:val="28"/>
              </w:rPr>
              <w:t xml:space="preserve"> млн</w:t>
            </w:r>
            <w:r w:rsidRPr="0038429B">
              <w:rPr>
                <w:sz w:val="28"/>
                <w:szCs w:val="28"/>
              </w:rPr>
              <w:t xml:space="preserve"> руб</w:t>
            </w:r>
            <w:r w:rsidR="002975B0">
              <w:rPr>
                <w:sz w:val="28"/>
                <w:szCs w:val="28"/>
              </w:rPr>
              <w:t>лей</w:t>
            </w:r>
            <w:r w:rsidRPr="0038429B">
              <w:rPr>
                <w:sz w:val="28"/>
                <w:szCs w:val="28"/>
              </w:rPr>
              <w:t>);</w:t>
            </w:r>
          </w:p>
          <w:p w:rsidR="0038429B" w:rsidRDefault="0038429B" w:rsidP="002975B0">
            <w:pPr>
              <w:ind w:firstLine="709"/>
              <w:rPr>
                <w:sz w:val="28"/>
                <w:szCs w:val="28"/>
              </w:rPr>
            </w:pPr>
            <w:r w:rsidRPr="0038429B">
              <w:rPr>
                <w:sz w:val="28"/>
                <w:szCs w:val="28"/>
              </w:rPr>
              <w:t>-</w:t>
            </w:r>
            <w:r w:rsidR="002975B0">
              <w:rPr>
                <w:sz w:val="28"/>
                <w:szCs w:val="28"/>
              </w:rPr>
              <w:t> </w:t>
            </w:r>
            <w:r w:rsidRPr="0038429B">
              <w:rPr>
                <w:sz w:val="28"/>
                <w:szCs w:val="28"/>
              </w:rPr>
              <w:t xml:space="preserve">ООО </w:t>
            </w:r>
            <w:r w:rsidR="00CB1B15">
              <w:rPr>
                <w:sz w:val="28"/>
                <w:szCs w:val="28"/>
              </w:rPr>
              <w:t>УК «Вавилон»</w:t>
            </w:r>
            <w:r w:rsidRPr="0038429B">
              <w:rPr>
                <w:sz w:val="28"/>
                <w:szCs w:val="28"/>
              </w:rPr>
              <w:t xml:space="preserve"> (</w:t>
            </w:r>
            <w:r w:rsidR="00CB1B15">
              <w:rPr>
                <w:sz w:val="28"/>
                <w:szCs w:val="28"/>
              </w:rPr>
              <w:t>1,5</w:t>
            </w:r>
            <w:r w:rsidR="002975B0">
              <w:rPr>
                <w:sz w:val="28"/>
                <w:szCs w:val="28"/>
              </w:rPr>
              <w:t xml:space="preserve"> млн</w:t>
            </w:r>
            <w:r w:rsidRPr="0038429B">
              <w:rPr>
                <w:sz w:val="28"/>
                <w:szCs w:val="28"/>
              </w:rPr>
              <w:t xml:space="preserve"> руб</w:t>
            </w:r>
            <w:r w:rsidR="002975B0">
              <w:rPr>
                <w:sz w:val="28"/>
                <w:szCs w:val="28"/>
              </w:rPr>
              <w:t>лей</w:t>
            </w:r>
            <w:r w:rsidRPr="0038429B">
              <w:rPr>
                <w:sz w:val="28"/>
                <w:szCs w:val="28"/>
              </w:rPr>
              <w:t>).</w:t>
            </w:r>
          </w:p>
          <w:p w:rsidR="00BD70E1" w:rsidRDefault="00BD70E1" w:rsidP="00BD70E1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Накопленная задолженность со стороны исполнителей коммунальных услуг перед «ТНС энерго Кубань» в размере, превышающем величину двух периодов начислений, является грубым нарушением лицензионного законодательства, за которое предусмотрена административная ответственность, вплоть до </w:t>
            </w:r>
            <w:r w:rsidR="00D43FE7">
              <w:rPr>
                <w:sz w:val="28"/>
                <w:szCs w:val="28"/>
              </w:rPr>
              <w:t>лишения</w:t>
            </w:r>
            <w:r>
              <w:rPr>
                <w:sz w:val="28"/>
                <w:szCs w:val="28"/>
              </w:rPr>
              <w:t xml:space="preserve"> лицензи</w:t>
            </w:r>
            <w:r w:rsidR="00D43FE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обслуживание многоквартирных домов. Контроль исполнения требований закона обеспечивает Государственная жилищная инспекция. </w:t>
            </w:r>
          </w:p>
          <w:p w:rsidR="00C71E36" w:rsidRPr="00954A6D" w:rsidRDefault="00467BA8" w:rsidP="002975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</w:t>
            </w:r>
            <w:r w:rsidR="00730F6D" w:rsidRPr="00730F6D">
              <w:rPr>
                <w:sz w:val="28"/>
                <w:szCs w:val="28"/>
              </w:rPr>
              <w:t xml:space="preserve"> </w:t>
            </w:r>
            <w:hyperlink r:id="rId9" w:history="1">
              <w:r w:rsidR="00730F6D" w:rsidRPr="00532DC3">
                <w:rPr>
                  <w:rStyle w:val="aa"/>
                  <w:sz w:val="28"/>
                  <w:szCs w:val="28"/>
                </w:rPr>
                <w:t>спис</w:t>
              </w:r>
              <w:r>
                <w:rPr>
                  <w:rStyle w:val="aa"/>
                  <w:sz w:val="28"/>
                  <w:szCs w:val="28"/>
                </w:rPr>
                <w:t>ок</w:t>
              </w:r>
              <w:r w:rsidR="00730F6D" w:rsidRPr="00532DC3">
                <w:rPr>
                  <w:rStyle w:val="aa"/>
                  <w:sz w:val="28"/>
                  <w:szCs w:val="28"/>
                </w:rPr>
                <w:t xml:space="preserve"> управляющих компаний-должников</w:t>
              </w:r>
            </w:hyperlink>
            <w:r w:rsidR="00730F6D" w:rsidRPr="00730F6D">
              <w:rPr>
                <w:sz w:val="28"/>
                <w:szCs w:val="28"/>
              </w:rPr>
              <w:t xml:space="preserve"> можно </w:t>
            </w:r>
            <w:r>
              <w:rPr>
                <w:sz w:val="28"/>
                <w:szCs w:val="28"/>
              </w:rPr>
              <w:t xml:space="preserve">посмотреть </w:t>
            </w:r>
            <w:r w:rsidR="00730F6D" w:rsidRPr="00730F6D">
              <w:rPr>
                <w:sz w:val="28"/>
                <w:szCs w:val="28"/>
              </w:rPr>
              <w:t>на сайте</w:t>
            </w:r>
            <w:r>
              <w:rPr>
                <w:sz w:val="28"/>
                <w:szCs w:val="28"/>
              </w:rPr>
              <w:t xml:space="preserve"> ресурсоснабжающей организации</w:t>
            </w:r>
            <w:r w:rsidR="00730F6D" w:rsidRPr="00730F6D">
              <w:rPr>
                <w:sz w:val="28"/>
                <w:szCs w:val="28"/>
              </w:rPr>
              <w:t>. </w:t>
            </w:r>
            <w:r w:rsidR="00602394">
              <w:rPr>
                <w:sz w:val="28"/>
                <w:szCs w:val="28"/>
              </w:rPr>
              <w:t xml:space="preserve"> </w:t>
            </w:r>
            <w:r w:rsidR="00376629" w:rsidRPr="00376629">
              <w:rPr>
                <w:sz w:val="28"/>
                <w:szCs w:val="28"/>
              </w:rPr>
              <w:t xml:space="preserve">Такие рейтинги позволяют жителям многоквартирных домов «держать руку на пульсе» и </w:t>
            </w:r>
            <w:r w:rsidR="00BD70E1">
              <w:rPr>
                <w:sz w:val="28"/>
                <w:szCs w:val="28"/>
              </w:rPr>
              <w:t>следить за</w:t>
            </w:r>
            <w:r w:rsidR="00376629" w:rsidRPr="00376629">
              <w:rPr>
                <w:sz w:val="28"/>
                <w:szCs w:val="28"/>
              </w:rPr>
              <w:t xml:space="preserve"> накопление</w:t>
            </w:r>
            <w:r w:rsidR="00BD70E1">
              <w:rPr>
                <w:sz w:val="28"/>
                <w:szCs w:val="28"/>
              </w:rPr>
              <w:t>м</w:t>
            </w:r>
            <w:r w:rsidR="00376629" w:rsidRPr="00376629">
              <w:rPr>
                <w:sz w:val="28"/>
                <w:szCs w:val="28"/>
              </w:rPr>
              <w:t xml:space="preserve"> задолженности </w:t>
            </w:r>
            <w:r w:rsidR="00BD70E1" w:rsidRPr="00BD70E1">
              <w:rPr>
                <w:sz w:val="28"/>
                <w:szCs w:val="28"/>
              </w:rPr>
              <w:t>исполнителей коммунальных услуг</w:t>
            </w:r>
            <w:r w:rsidR="00376629" w:rsidRPr="00376629">
              <w:rPr>
                <w:sz w:val="28"/>
                <w:szCs w:val="28"/>
              </w:rPr>
              <w:t>.</w:t>
            </w:r>
          </w:p>
          <w:p w:rsidR="00C71E36" w:rsidRPr="00954A6D" w:rsidRDefault="00C71E36" w:rsidP="002975B0">
            <w:pPr>
              <w:ind w:firstLine="709"/>
              <w:jc w:val="both"/>
              <w:rPr>
                <w:sz w:val="28"/>
                <w:szCs w:val="28"/>
              </w:rPr>
            </w:pPr>
            <w:r w:rsidRPr="00954A6D">
              <w:rPr>
                <w:sz w:val="28"/>
                <w:szCs w:val="28"/>
              </w:rPr>
              <w:t xml:space="preserve">Энергетики в очередной раз напоминают, что от уровня платежной дисциплины и конструктивного взаимодействия с организациями в сфере ЖКХ зависит бесперебойное энергоснабжение многоквартирных жилых </w:t>
            </w:r>
            <w:r w:rsidRPr="00954A6D">
              <w:rPr>
                <w:sz w:val="28"/>
                <w:szCs w:val="28"/>
              </w:rPr>
              <w:lastRenderedPageBreak/>
              <w:t>домов и обеспечение ключевых потребностей населения. </w:t>
            </w:r>
          </w:p>
          <w:p w:rsidR="00C71E36" w:rsidRPr="00A71F23" w:rsidRDefault="00C71E36" w:rsidP="00A71F23">
            <w:pPr>
              <w:ind w:firstLine="604"/>
              <w:jc w:val="both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0D" w:rsidRDefault="00C4200D">
      <w:r>
        <w:separator/>
      </w:r>
    </w:p>
  </w:endnote>
  <w:endnote w:type="continuationSeparator" w:id="0">
    <w:p w:rsidR="00C4200D" w:rsidRDefault="00C4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0D" w:rsidRDefault="00C4200D">
      <w:r>
        <w:separator/>
      </w:r>
    </w:p>
  </w:footnote>
  <w:footnote w:type="continuationSeparator" w:id="0">
    <w:p w:rsidR="00C4200D" w:rsidRDefault="00C4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70E1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74B1"/>
    <w:rsid w:val="000915EF"/>
    <w:rsid w:val="00091820"/>
    <w:rsid w:val="0009211C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0F1408"/>
    <w:rsid w:val="00103D7C"/>
    <w:rsid w:val="00113F9A"/>
    <w:rsid w:val="00120B24"/>
    <w:rsid w:val="00122C34"/>
    <w:rsid w:val="00126C6E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5B1C"/>
    <w:rsid w:val="00190D93"/>
    <w:rsid w:val="001940AF"/>
    <w:rsid w:val="00196E08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75B0"/>
    <w:rsid w:val="002A12BD"/>
    <w:rsid w:val="002A59AD"/>
    <w:rsid w:val="002B188A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64BBA"/>
    <w:rsid w:val="003717FA"/>
    <w:rsid w:val="0037203A"/>
    <w:rsid w:val="00373B8A"/>
    <w:rsid w:val="00376300"/>
    <w:rsid w:val="00376629"/>
    <w:rsid w:val="00380CDD"/>
    <w:rsid w:val="0038429B"/>
    <w:rsid w:val="00385CFC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3F2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67BA8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2334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0BA2"/>
    <w:rsid w:val="00531AA3"/>
    <w:rsid w:val="005321A3"/>
    <w:rsid w:val="00532DC3"/>
    <w:rsid w:val="00535B83"/>
    <w:rsid w:val="005371D2"/>
    <w:rsid w:val="00537DF6"/>
    <w:rsid w:val="00546AFF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314B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02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740"/>
    <w:rsid w:val="007A7179"/>
    <w:rsid w:val="007B02EE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81D33"/>
    <w:rsid w:val="00882062"/>
    <w:rsid w:val="00883BC7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46246"/>
    <w:rsid w:val="00950E3F"/>
    <w:rsid w:val="00954823"/>
    <w:rsid w:val="00954A6D"/>
    <w:rsid w:val="00964E49"/>
    <w:rsid w:val="0096592F"/>
    <w:rsid w:val="00965C3B"/>
    <w:rsid w:val="0096606A"/>
    <w:rsid w:val="00966E14"/>
    <w:rsid w:val="00976B8A"/>
    <w:rsid w:val="009804CD"/>
    <w:rsid w:val="00994C50"/>
    <w:rsid w:val="009958BC"/>
    <w:rsid w:val="00995E70"/>
    <w:rsid w:val="009A001C"/>
    <w:rsid w:val="009A33E7"/>
    <w:rsid w:val="009B0F7C"/>
    <w:rsid w:val="009C2EEF"/>
    <w:rsid w:val="009D1DD3"/>
    <w:rsid w:val="009D3A4A"/>
    <w:rsid w:val="009D4412"/>
    <w:rsid w:val="009D6C32"/>
    <w:rsid w:val="009E01FB"/>
    <w:rsid w:val="009E7671"/>
    <w:rsid w:val="009F2A3D"/>
    <w:rsid w:val="00A04CC0"/>
    <w:rsid w:val="00A1071B"/>
    <w:rsid w:val="00A12929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806A3"/>
    <w:rsid w:val="00A8690C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2E75"/>
    <w:rsid w:val="00B0372E"/>
    <w:rsid w:val="00B04182"/>
    <w:rsid w:val="00B071C2"/>
    <w:rsid w:val="00B10B49"/>
    <w:rsid w:val="00B112B8"/>
    <w:rsid w:val="00B11C0B"/>
    <w:rsid w:val="00B15D14"/>
    <w:rsid w:val="00B17C46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A09DB"/>
    <w:rsid w:val="00BB24D2"/>
    <w:rsid w:val="00BC02A8"/>
    <w:rsid w:val="00BC0E4E"/>
    <w:rsid w:val="00BC40D0"/>
    <w:rsid w:val="00BC5366"/>
    <w:rsid w:val="00BD1BDA"/>
    <w:rsid w:val="00BD70E1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200D"/>
    <w:rsid w:val="00C44A11"/>
    <w:rsid w:val="00C465D5"/>
    <w:rsid w:val="00C507FC"/>
    <w:rsid w:val="00C50E6C"/>
    <w:rsid w:val="00C5759B"/>
    <w:rsid w:val="00C57B67"/>
    <w:rsid w:val="00C611D0"/>
    <w:rsid w:val="00C61DDC"/>
    <w:rsid w:val="00C716C0"/>
    <w:rsid w:val="00C71E36"/>
    <w:rsid w:val="00C75EAC"/>
    <w:rsid w:val="00C876C2"/>
    <w:rsid w:val="00C93CC3"/>
    <w:rsid w:val="00CA0D09"/>
    <w:rsid w:val="00CA0D7B"/>
    <w:rsid w:val="00CA2690"/>
    <w:rsid w:val="00CA64BD"/>
    <w:rsid w:val="00CA6748"/>
    <w:rsid w:val="00CB1B15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11C13"/>
    <w:rsid w:val="00D24AD4"/>
    <w:rsid w:val="00D34BD7"/>
    <w:rsid w:val="00D3678E"/>
    <w:rsid w:val="00D43021"/>
    <w:rsid w:val="00D43FE7"/>
    <w:rsid w:val="00D447DE"/>
    <w:rsid w:val="00D53072"/>
    <w:rsid w:val="00D53456"/>
    <w:rsid w:val="00D53FBA"/>
    <w:rsid w:val="00D5679F"/>
    <w:rsid w:val="00D64257"/>
    <w:rsid w:val="00D64DFA"/>
    <w:rsid w:val="00D731B3"/>
    <w:rsid w:val="00D86F05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126BA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61C40"/>
    <w:rsid w:val="00E6253C"/>
    <w:rsid w:val="00E62C4B"/>
    <w:rsid w:val="00E63988"/>
    <w:rsid w:val="00E63F3C"/>
    <w:rsid w:val="00E81BA1"/>
    <w:rsid w:val="00E83A17"/>
    <w:rsid w:val="00E84AF2"/>
    <w:rsid w:val="00E85405"/>
    <w:rsid w:val="00E86F31"/>
    <w:rsid w:val="00E91FF2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B4EBA"/>
    <w:rsid w:val="00EC0228"/>
    <w:rsid w:val="00EC085D"/>
    <w:rsid w:val="00EC327C"/>
    <w:rsid w:val="00EC3DAB"/>
    <w:rsid w:val="00EC4589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A7A6F"/>
    <w:rsid w:val="00FB0FF7"/>
    <w:rsid w:val="00FB308C"/>
    <w:rsid w:val="00FB3438"/>
    <w:rsid w:val="00FB3FF3"/>
    <w:rsid w:val="00FB40AD"/>
    <w:rsid w:val="00FB4AB3"/>
    <w:rsid w:val="00FC0F58"/>
    <w:rsid w:val="00FC6CDA"/>
    <w:rsid w:val="00FC7F67"/>
    <w:rsid w:val="00FD55DC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4ADC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ratings/krasnodar/reyting-predpriyatiy-zhkkh-po-krasnodarskomu-krayu-na-01-07-2023-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F91E98-96E2-4C59-ADB4-1DDCD39D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</cp:revision>
  <cp:lastPrinted>2023-08-30T10:17:00Z</cp:lastPrinted>
  <dcterms:created xsi:type="dcterms:W3CDTF">2023-08-31T08:18:00Z</dcterms:created>
  <dcterms:modified xsi:type="dcterms:W3CDTF">2023-08-31T08:18:00Z</dcterms:modified>
</cp:coreProperties>
</file>