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Контракт с «Роснефтью», ребрендинг компании и собственный автопарк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— об итогах 2023 года компании «Оил Ресурс» 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color w:val="ffd966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d966"/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  <w:color w:val="ffd9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color w:val="ffd9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Самым важным событием для «Оил Ресурс» в 2023 году стало заключение долгосрочного контракта с компанией «Роснефть» на перевозку углеводородного сырья.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Компания заключила контракты с крупнейшими НПЗ России, а также частными организациями.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 период 2014–2019 компания демонстрировала среднегодовые темпы роста выручки на уровне 50%. Снижение оборотов и показателя выручки в 2020–2021 году было связано с пандемией.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 2023 году выручка компании вернулась на допандемийные уровни.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1"/>
          <w:szCs w:val="2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Ниже представлены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сравнительные результаты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«Оил Ресурс» 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за 2022 и 2023 г., подготовленные в соответствии с Международными стандартами финансовой отчётности (МСФО).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5" w:tblpY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1560"/>
        <w:gridCol w:w="1845"/>
        <w:gridCol w:w="1830"/>
        <w:tblGridChange w:id="0">
          <w:tblGrid>
            <w:gridCol w:w="3780"/>
            <w:gridCol w:w="1560"/>
            <w:gridCol w:w="1845"/>
            <w:gridCol w:w="1830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2022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2023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%, изм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цены представлены в тыс. руб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  <w:rtl w:val="0"/>
              </w:rPr>
              <w:t xml:space="preserve">Выручка (без НДС)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8 285 257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10 432 500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20,5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  <w:rtl w:val="0"/>
              </w:rPr>
              <w:t xml:space="preserve">Чистая прибыль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112 604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221 060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49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  <w:rtl w:val="0"/>
              </w:rPr>
              <w:t xml:space="preserve">EBITDA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183 104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342 076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46,5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  <w:rtl w:val="0"/>
              </w:rPr>
              <w:t xml:space="preserve">Активы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1 425 205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2 429 295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41,3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  <w:rtl w:val="0"/>
              </w:rPr>
              <w:t xml:space="preserve">Капитал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446 900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649 799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31,2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highlight w:val="white"/>
                <w:rtl w:val="0"/>
              </w:rPr>
              <w:t xml:space="preserve">Денежные средства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7 233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12 925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44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Montserrat" w:cs="Montserrat" w:eastAsia="Montserrat" w:hAnsi="Montserrat"/>
          <w:color w:val="2525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  <w:color w:val="252525"/>
        </w:rPr>
      </w:pP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К концу 2023 года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«Оил Ресурс»</w:t>
      </w: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 демонстрирует прибыльность и сильные результаты с чистой прибылью около</w:t>
      </w:r>
      <w:r w:rsidDel="00000000" w:rsidR="00000000" w:rsidRPr="00000000">
        <w:rPr>
          <w:rFonts w:ascii="Montserrat" w:cs="Montserrat" w:eastAsia="Montserrat" w:hAnsi="Montserrat"/>
          <w:b w:val="1"/>
          <w:color w:val="252525"/>
          <w:rtl w:val="0"/>
        </w:rPr>
        <w:t xml:space="preserve"> 220 млн руб</w:t>
      </w: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, что составляет около </w:t>
      </w:r>
      <w:r w:rsidDel="00000000" w:rsidR="00000000" w:rsidRPr="00000000">
        <w:rPr>
          <w:rFonts w:ascii="Montserrat" w:cs="Montserrat" w:eastAsia="Montserrat" w:hAnsi="Montserrat"/>
          <w:b w:val="1"/>
          <w:color w:val="252525"/>
          <w:rtl w:val="0"/>
        </w:rPr>
        <w:t xml:space="preserve">50% роста прибыли</w:t>
      </w: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 по сравнению с прошлым годом. За прошедший год значение общей выручки выросло </w:t>
      </w:r>
      <w:r w:rsidDel="00000000" w:rsidR="00000000" w:rsidRPr="00000000">
        <w:rPr>
          <w:rFonts w:ascii="Montserrat" w:cs="Montserrat" w:eastAsia="Montserrat" w:hAnsi="Montserrat"/>
          <w:b w:val="1"/>
          <w:color w:val="252525"/>
          <w:rtl w:val="0"/>
        </w:rPr>
        <w:t xml:space="preserve">более, чем на 20%,</w:t>
      </w: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 активы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—</w:t>
      </w: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252525"/>
          <w:rtl w:val="0"/>
        </w:rPr>
        <w:t xml:space="preserve">более, чем на 40%</w:t>
      </w: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, значения EBITDA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—</w:t>
      </w: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252525"/>
          <w:rtl w:val="0"/>
        </w:rPr>
        <w:t xml:space="preserve">на 46 %</w:t>
      </w: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, сумма капитала выросла </w:t>
      </w:r>
      <w:r w:rsidDel="00000000" w:rsidR="00000000" w:rsidRPr="00000000">
        <w:rPr>
          <w:rFonts w:ascii="Montserrat" w:cs="Montserrat" w:eastAsia="Montserrat" w:hAnsi="Montserrat"/>
          <w:b w:val="1"/>
          <w:color w:val="252525"/>
          <w:rtl w:val="0"/>
        </w:rPr>
        <w:t xml:space="preserve">более, чем на 30%</w:t>
      </w: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.</w:t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  <w:color w:val="2525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Это подтверждает надёжность бизнеса и</w:t>
      </w:r>
      <w:r w:rsidDel="00000000" w:rsidR="00000000" w:rsidRPr="00000000">
        <w:rPr>
          <w:rFonts w:ascii="Montserrat" w:cs="Montserrat" w:eastAsia="Montserrat" w:hAnsi="Montserrat"/>
          <w:color w:val="252525"/>
          <w:highlight w:val="white"/>
          <w:rtl w:val="0"/>
        </w:rPr>
        <w:t xml:space="preserve"> служит фундаментом для продолжения стабильных выплат акционерам по результатам работы за весь отчётный период.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Исходя из представленных данных, мы можем увидеть, что в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2023 году, в условиях внешнего давления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«Оил Ресурс»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продемонстрировала операционную эффективность и подтвердила состоятельность своей бизнес-модели. </w:t>
      </w:r>
    </w:p>
    <w:p w:rsidR="00000000" w:rsidDel="00000000" w:rsidP="00000000" w:rsidRDefault="00000000" w:rsidRPr="00000000" w14:paraId="00000032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Montserrat" w:cs="Montserrat" w:eastAsia="Montserrat" w:hAnsi="Montserrat"/>
          <w:b w:val="1"/>
          <w:color w:val="ffd966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d966"/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4">
      <w:pPr>
        <w:ind w:left="72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По данным отчётности компании (МСФО) на 2023 год выручка «Оил Ресурс» составила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10,4 млрд руб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чистая прибыль компании —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220 млн руб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количество заказов превысило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11 тысяч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общая масса поставленной продукции достигла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320 тысяч тонн. 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Сумма заёмного капитала с Московской биржи составила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500 млн. руб</w:t>
      </w:r>
    </w:p>
    <w:p w:rsidR="00000000" w:rsidDel="00000000" w:rsidP="00000000" w:rsidRDefault="00000000" w:rsidRPr="00000000" w14:paraId="00000035">
      <w:pPr>
        <w:ind w:left="0" w:firstLine="0"/>
        <w:rPr>
          <w:rFonts w:ascii="Montserrat" w:cs="Montserrat" w:eastAsia="Montserrat" w:hAnsi="Montserrat"/>
          <w:b w:val="1"/>
          <w:color w:val="ffd9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Значения выручки, чистой прибыли и EBITDA выросли, в то время как долговые обязательства за 2023 год снизились на 25% по сравнению с прошлым годом. </w:t>
      </w:r>
    </w:p>
    <w:p w:rsidR="00000000" w:rsidDel="00000000" w:rsidP="00000000" w:rsidRDefault="00000000" w:rsidRPr="00000000" w14:paraId="00000038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30" w:tblpY="0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2021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2022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2023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цены представлены в тыс. руб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Долг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511 428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345 172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260 000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EBITDA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216 065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183 104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342 076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Также значимым событием прошлого года стало увеличение количества финансовых партнёров. «Оил Ресурс» в 2023 году привлёк к сотрудничеству большое количество федеральных и региональных банков — 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это говорит об устойчивости и стабильности компании.</w:t>
      </w:r>
    </w:p>
    <w:p w:rsidR="00000000" w:rsidDel="00000000" w:rsidP="00000000" w:rsidRDefault="00000000" w:rsidRPr="00000000" w14:paraId="0000004B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Montserrat" w:cs="Montserrat" w:eastAsia="Montserrat" w:hAnsi="Montserrat"/>
          <w:color w:val="252525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d966"/>
          <w:sz w:val="24"/>
          <w:szCs w:val="24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rFonts w:ascii="Montserrat" w:cs="Montserrat" w:eastAsia="Montserrat" w:hAnsi="Montserrat"/>
          <w:color w:val="252525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«Вот уже 2 года мы являемся публичной компанией, а в этом году успешно разместили дебютный облигационный займ —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самый крупный в нашей истории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», — добавил гендиректор компании </w:t>
      </w:r>
      <w:r w:rsidDel="00000000" w:rsidR="00000000" w:rsidRPr="00000000">
        <w:rPr>
          <w:rFonts w:ascii="Montserrat" w:cs="Montserrat" w:eastAsia="Montserrat" w:hAnsi="Montserrat"/>
          <w:color w:val="252525"/>
          <w:rtl w:val="0"/>
        </w:rPr>
        <w:t xml:space="preserve">Семён Гарагуль.</w:t>
      </w:r>
    </w:p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  <w:color w:val="2525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Ребрендинг группы компаний «Оил Ресурс» и открытие новых подразделений в городах Сургут и Стерлитамак — 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всё это свидетельствует о поступательном и планомерном развитии.</w:t>
      </w:r>
    </w:p>
    <w:p w:rsidR="00000000" w:rsidDel="00000000" w:rsidP="00000000" w:rsidRDefault="00000000" w:rsidRPr="00000000" w14:paraId="00000050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color w:val="252525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Благодаря развитию логистики и расширению штата водителей </w:t>
      </w: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более, чем на 30%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стало возможным формирование собственного автопарка.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rFonts w:ascii="Montserrat" w:cs="Montserrat" w:eastAsia="Montserrat" w:hAnsi="Montserrat"/>
          <w:color w:val="2525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Ещё одно значимое событие этого года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— 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повышение рейтинга группы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Это результат долгосрочной стратегии, которая помогла росту доверия инвесторов.</w:t>
      </w:r>
    </w:p>
    <w:p w:rsidR="00000000" w:rsidDel="00000000" w:rsidP="00000000" w:rsidRDefault="00000000" w:rsidRPr="00000000" w14:paraId="0000005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 2023 году «Оил Ресурс» запустил новую компанию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«Землица»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</w:t>
        <w:br w:type="textWrapping"/>
        <w:t xml:space="preserve">Её основная деятельность — агропромышленная сфера. Сегодня «Землица» специализируется на экспорте зерна. А в будущем сфокусируется на выращивании зерновых, формировании земельного банка, логистике и дистрибуции.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