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01827EE8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6731A88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53D471CF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77B634B" w14:textId="1A4A7B91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55AA4E16" w14:textId="51A236E2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72327873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43512021" w14:textId="13FB0CE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9DFCF59" w14:textId="59DE4056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5A225562" w14:textId="7F0B44B0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771C671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064B46C1" w14:textId="6E570544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0E5FDA2" w14:textId="212AB916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069401F9" w14:textId="171B136F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7AB75F" w14:textId="0724116D" w:rsidR="00FF1044" w:rsidRPr="006D4113" w:rsidRDefault="00FF1044" w:rsidP="00FF1044">
      <w:pPr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 </w:t>
      </w:r>
      <w:r w:rsidRPr="00FF1044">
        <w:rPr>
          <w:rFonts w:ascii="Arial Narrow" w:hAnsi="Arial Narrow" w:cs="Arial"/>
          <w:b/>
          <w:sz w:val="26"/>
          <w:szCs w:val="26"/>
        </w:rPr>
        <w:t xml:space="preserve">«Россети» </w:t>
      </w:r>
      <w:r w:rsidR="00DE7075">
        <w:rPr>
          <w:rFonts w:ascii="Arial Narrow" w:hAnsi="Arial Narrow" w:cs="Arial"/>
          <w:b/>
          <w:sz w:val="26"/>
          <w:szCs w:val="26"/>
        </w:rPr>
        <w:t>модернизировал</w:t>
      </w:r>
      <w:r w:rsidR="002B2740">
        <w:rPr>
          <w:rFonts w:ascii="Arial Narrow" w:hAnsi="Arial Narrow" w:cs="Arial"/>
          <w:b/>
          <w:sz w:val="26"/>
          <w:szCs w:val="26"/>
        </w:rPr>
        <w:t>и</w:t>
      </w:r>
      <w:r w:rsidR="00DE7075">
        <w:rPr>
          <w:rFonts w:ascii="Arial Narrow" w:hAnsi="Arial Narrow" w:cs="Arial"/>
          <w:b/>
          <w:sz w:val="26"/>
          <w:szCs w:val="26"/>
        </w:rPr>
        <w:t xml:space="preserve"> </w:t>
      </w:r>
      <w:r w:rsidR="00D44A5F">
        <w:rPr>
          <w:rFonts w:ascii="Arial Narrow" w:hAnsi="Arial Narrow" w:cs="Arial"/>
          <w:b/>
          <w:sz w:val="26"/>
          <w:szCs w:val="26"/>
        </w:rPr>
        <w:t>центр питания «</w:t>
      </w:r>
      <w:proofErr w:type="spellStart"/>
      <w:r>
        <w:rPr>
          <w:rFonts w:ascii="Arial Narrow" w:hAnsi="Arial Narrow" w:cs="Arial"/>
          <w:b/>
          <w:sz w:val="26"/>
          <w:szCs w:val="26"/>
        </w:rPr>
        <w:t>бамовского</w:t>
      </w:r>
      <w:proofErr w:type="spellEnd"/>
      <w:r w:rsidR="00D44A5F">
        <w:rPr>
          <w:rFonts w:ascii="Arial Narrow" w:hAnsi="Arial Narrow" w:cs="Arial"/>
          <w:b/>
          <w:sz w:val="26"/>
          <w:szCs w:val="26"/>
        </w:rPr>
        <w:t>»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 w:rsidRPr="00FF1044">
        <w:rPr>
          <w:rFonts w:ascii="Arial Narrow" w:hAnsi="Arial Narrow" w:cs="Arial"/>
          <w:b/>
          <w:sz w:val="26"/>
          <w:szCs w:val="26"/>
        </w:rPr>
        <w:t>транзит</w:t>
      </w:r>
      <w:r>
        <w:rPr>
          <w:rFonts w:ascii="Arial Narrow" w:hAnsi="Arial Narrow" w:cs="Arial"/>
          <w:b/>
          <w:sz w:val="26"/>
          <w:szCs w:val="26"/>
        </w:rPr>
        <w:t>а</w:t>
      </w:r>
      <w:r w:rsidR="006D4113" w:rsidRPr="006D4113">
        <w:rPr>
          <w:rFonts w:ascii="Arial Narrow" w:hAnsi="Arial Narrow" w:cs="Arial"/>
          <w:b/>
          <w:sz w:val="26"/>
          <w:szCs w:val="26"/>
        </w:rPr>
        <w:t xml:space="preserve"> в Приамурье</w:t>
      </w:r>
    </w:p>
    <w:p w14:paraId="646EF85A" w14:textId="3023AE5E" w:rsidR="0007074A" w:rsidRDefault="00996DF7" w:rsidP="00FF1044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Ф</w:t>
      </w:r>
      <w:r w:rsidR="006844BD">
        <w:rPr>
          <w:rFonts w:ascii="Arial Narrow" w:hAnsi="Arial Narrow" w:cs="Arial"/>
          <w:b/>
          <w:sz w:val="26"/>
          <w:szCs w:val="26"/>
        </w:rPr>
        <w:t>илиал</w:t>
      </w:r>
      <w:r w:rsidR="006844BD" w:rsidRPr="00D44A5F">
        <w:rPr>
          <w:rFonts w:ascii="Arial Narrow" w:hAnsi="Arial Narrow" w:cs="Arial"/>
          <w:b/>
          <w:sz w:val="26"/>
          <w:szCs w:val="26"/>
        </w:rPr>
        <w:t xml:space="preserve"> </w:t>
      </w:r>
      <w:r w:rsidR="00D44A5F" w:rsidRPr="00D44A5F">
        <w:rPr>
          <w:rFonts w:ascii="Arial Narrow" w:hAnsi="Arial Narrow" w:cs="Arial"/>
          <w:b/>
          <w:sz w:val="26"/>
          <w:szCs w:val="26"/>
        </w:rPr>
        <w:t xml:space="preserve">ПАО </w:t>
      </w:r>
      <w:r w:rsidR="00E57EC9">
        <w:rPr>
          <w:rFonts w:ascii="Arial Narrow" w:hAnsi="Arial Narrow" w:cs="Arial"/>
          <w:b/>
          <w:sz w:val="26"/>
          <w:szCs w:val="26"/>
        </w:rPr>
        <w:t>«</w:t>
      </w:r>
      <w:r w:rsidR="00D44A5F" w:rsidRPr="00D44A5F">
        <w:rPr>
          <w:rFonts w:ascii="Arial Narrow" w:hAnsi="Arial Narrow" w:cs="Arial"/>
          <w:b/>
          <w:sz w:val="26"/>
          <w:szCs w:val="26"/>
        </w:rPr>
        <w:t>Россети</w:t>
      </w:r>
      <w:r w:rsidR="00E57EC9">
        <w:rPr>
          <w:rFonts w:ascii="Arial Narrow" w:hAnsi="Arial Narrow" w:cs="Arial"/>
          <w:b/>
          <w:sz w:val="26"/>
          <w:szCs w:val="26"/>
        </w:rPr>
        <w:t>»</w:t>
      </w:r>
      <w:r w:rsidR="00D44A5F" w:rsidRPr="00D44A5F">
        <w:rPr>
          <w:rFonts w:ascii="Arial Narrow" w:hAnsi="Arial Narrow" w:cs="Arial"/>
          <w:b/>
          <w:sz w:val="26"/>
          <w:szCs w:val="26"/>
        </w:rPr>
        <w:t xml:space="preserve"> </w:t>
      </w:r>
      <w:r w:rsidR="006844BD">
        <w:rPr>
          <w:rFonts w:ascii="Arial Narrow" w:hAnsi="Arial Narrow" w:cs="Arial"/>
          <w:b/>
          <w:sz w:val="26"/>
          <w:szCs w:val="26"/>
        </w:rPr>
        <w:t xml:space="preserve">– </w:t>
      </w:r>
      <w:r w:rsidR="00D44A5F" w:rsidRPr="00D44A5F">
        <w:rPr>
          <w:rFonts w:ascii="Arial Narrow" w:hAnsi="Arial Narrow" w:cs="Arial"/>
          <w:b/>
          <w:sz w:val="26"/>
          <w:szCs w:val="26"/>
        </w:rPr>
        <w:t xml:space="preserve">МЭС Востока </w:t>
      </w:r>
      <w:r>
        <w:rPr>
          <w:rFonts w:ascii="Arial Narrow" w:hAnsi="Arial Narrow" w:cs="Arial"/>
          <w:b/>
          <w:sz w:val="26"/>
          <w:szCs w:val="26"/>
        </w:rPr>
        <w:t xml:space="preserve">обновил коммутационное оборудование и внедрил микропроцессорные защиты </w:t>
      </w:r>
      <w:r w:rsidR="00D44A5F" w:rsidRPr="00D44A5F">
        <w:rPr>
          <w:rFonts w:ascii="Arial Narrow" w:hAnsi="Arial Narrow" w:cs="Arial"/>
          <w:b/>
          <w:sz w:val="26"/>
          <w:szCs w:val="26"/>
        </w:rPr>
        <w:t xml:space="preserve">на подстанции </w:t>
      </w:r>
      <w:r w:rsidR="00233F82">
        <w:rPr>
          <w:rFonts w:ascii="Arial Narrow" w:hAnsi="Arial Narrow" w:cs="Arial"/>
          <w:b/>
          <w:sz w:val="26"/>
          <w:szCs w:val="26"/>
        </w:rPr>
        <w:t>220</w:t>
      </w:r>
      <w:r>
        <w:rPr>
          <w:rFonts w:ascii="Arial Narrow" w:hAnsi="Arial Narrow" w:cs="Arial"/>
          <w:b/>
          <w:sz w:val="26"/>
          <w:szCs w:val="26"/>
        </w:rPr>
        <w:t> </w:t>
      </w:r>
      <w:r w:rsidR="00233F82">
        <w:rPr>
          <w:rFonts w:ascii="Arial Narrow" w:hAnsi="Arial Narrow" w:cs="Arial"/>
          <w:b/>
          <w:sz w:val="26"/>
          <w:szCs w:val="26"/>
        </w:rPr>
        <w:t>кВ</w:t>
      </w:r>
      <w:r w:rsidR="00233F82" w:rsidRPr="00D44A5F">
        <w:rPr>
          <w:rFonts w:ascii="Arial Narrow" w:hAnsi="Arial Narrow" w:cs="Arial"/>
          <w:b/>
          <w:sz w:val="26"/>
          <w:szCs w:val="26"/>
        </w:rPr>
        <w:t xml:space="preserve"> </w:t>
      </w:r>
      <w:r w:rsidR="00D44A5F" w:rsidRPr="00D44A5F">
        <w:rPr>
          <w:rFonts w:ascii="Arial Narrow" w:hAnsi="Arial Narrow" w:cs="Arial"/>
          <w:b/>
          <w:sz w:val="26"/>
          <w:szCs w:val="26"/>
        </w:rPr>
        <w:t>«Февральская»</w:t>
      </w:r>
      <w:r>
        <w:rPr>
          <w:rFonts w:ascii="Arial Narrow" w:hAnsi="Arial Narrow" w:cs="Arial"/>
          <w:b/>
          <w:sz w:val="26"/>
          <w:szCs w:val="26"/>
        </w:rPr>
        <w:t xml:space="preserve">, </w:t>
      </w:r>
      <w:r w:rsidR="00450E8C">
        <w:rPr>
          <w:rFonts w:ascii="Arial Narrow" w:hAnsi="Arial Narrow" w:cs="Arial"/>
          <w:b/>
          <w:sz w:val="26"/>
          <w:szCs w:val="26"/>
        </w:rPr>
        <w:t xml:space="preserve">которая питает </w:t>
      </w:r>
      <w:r>
        <w:rPr>
          <w:rFonts w:ascii="Arial Narrow" w:hAnsi="Arial Narrow" w:cs="Arial"/>
          <w:b/>
          <w:sz w:val="26"/>
          <w:szCs w:val="26"/>
        </w:rPr>
        <w:t xml:space="preserve">восток </w:t>
      </w:r>
      <w:r w:rsidR="00D44A5F" w:rsidRPr="00D44A5F">
        <w:rPr>
          <w:rFonts w:ascii="Arial Narrow" w:hAnsi="Arial Narrow" w:cs="Arial"/>
          <w:b/>
          <w:sz w:val="26"/>
          <w:szCs w:val="26"/>
        </w:rPr>
        <w:t>Амурской области.</w:t>
      </w:r>
      <w:r w:rsidR="00B67573">
        <w:rPr>
          <w:rFonts w:ascii="Arial Narrow" w:hAnsi="Arial Narrow" w:cs="Arial"/>
          <w:b/>
          <w:sz w:val="26"/>
          <w:szCs w:val="26"/>
        </w:rPr>
        <w:t xml:space="preserve"> </w:t>
      </w:r>
      <w:r w:rsidR="00D44A5F" w:rsidRPr="00541121">
        <w:rPr>
          <w:rFonts w:ascii="Arial Narrow" w:hAnsi="Arial Narrow" w:cs="Arial"/>
          <w:b/>
          <w:sz w:val="26"/>
          <w:szCs w:val="26"/>
        </w:rPr>
        <w:t xml:space="preserve">Это позволило повысить устойчивость электрической связи между объектами </w:t>
      </w:r>
      <w:r w:rsidRPr="00541121">
        <w:rPr>
          <w:rFonts w:ascii="Arial Narrow" w:hAnsi="Arial Narrow" w:cs="Arial"/>
          <w:b/>
          <w:sz w:val="26"/>
          <w:szCs w:val="26"/>
        </w:rPr>
        <w:t>Т</w:t>
      </w:r>
      <w:r>
        <w:rPr>
          <w:rFonts w:ascii="Arial Narrow" w:hAnsi="Arial Narrow" w:cs="Arial"/>
          <w:b/>
          <w:sz w:val="26"/>
          <w:szCs w:val="26"/>
        </w:rPr>
        <w:t xml:space="preserve">ранссибирской </w:t>
      </w:r>
      <w:r w:rsidR="00D44A5F" w:rsidRPr="00541121">
        <w:rPr>
          <w:rFonts w:ascii="Arial Narrow" w:hAnsi="Arial Narrow" w:cs="Arial"/>
          <w:b/>
          <w:sz w:val="26"/>
          <w:szCs w:val="26"/>
        </w:rPr>
        <w:t>и Байкало-Амурской</w:t>
      </w:r>
      <w:r w:rsidR="002B2740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магистралей</w:t>
      </w:r>
      <w:r w:rsidR="00D44A5F" w:rsidRPr="00541121">
        <w:rPr>
          <w:rFonts w:ascii="Arial Narrow" w:hAnsi="Arial Narrow" w:cs="Arial"/>
          <w:b/>
          <w:sz w:val="26"/>
          <w:szCs w:val="26"/>
        </w:rPr>
        <w:t xml:space="preserve">, обеспечить надежное электроснабжение </w:t>
      </w:r>
      <w:r>
        <w:rPr>
          <w:rFonts w:ascii="Arial Narrow" w:hAnsi="Arial Narrow" w:cs="Arial"/>
          <w:b/>
          <w:sz w:val="26"/>
          <w:szCs w:val="26"/>
        </w:rPr>
        <w:t xml:space="preserve">бытовых и промышленных </w:t>
      </w:r>
      <w:r w:rsidR="00D44A5F" w:rsidRPr="00541121">
        <w:rPr>
          <w:rFonts w:ascii="Arial Narrow" w:hAnsi="Arial Narrow" w:cs="Arial"/>
          <w:b/>
          <w:sz w:val="26"/>
          <w:szCs w:val="26"/>
        </w:rPr>
        <w:t>потребителей</w:t>
      </w:r>
      <w:r w:rsidR="002B2740">
        <w:rPr>
          <w:rFonts w:ascii="Arial Narrow" w:hAnsi="Arial Narrow" w:cs="Arial"/>
          <w:b/>
          <w:sz w:val="26"/>
          <w:szCs w:val="26"/>
        </w:rPr>
        <w:t xml:space="preserve"> региона</w:t>
      </w:r>
      <w:r w:rsidR="00D44A5F" w:rsidRPr="00541121">
        <w:rPr>
          <w:rFonts w:ascii="Arial Narrow" w:hAnsi="Arial Narrow" w:cs="Arial"/>
          <w:b/>
          <w:sz w:val="26"/>
          <w:szCs w:val="26"/>
        </w:rPr>
        <w:t>, включая золоторудные предприятия.</w:t>
      </w:r>
      <w:r w:rsidR="0007074A" w:rsidRPr="0007074A">
        <w:rPr>
          <w:rFonts w:ascii="Arial Narrow" w:hAnsi="Arial Narrow" w:cs="Arial"/>
          <w:sz w:val="26"/>
          <w:szCs w:val="26"/>
        </w:rPr>
        <w:t xml:space="preserve"> </w:t>
      </w:r>
    </w:p>
    <w:p w14:paraId="1C6A40ED" w14:textId="657344A4" w:rsidR="00996DF7" w:rsidRDefault="00996DF7" w:rsidP="005E41DD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Энергетики установили</w:t>
      </w:r>
      <w:r w:rsidR="00450E8C">
        <w:rPr>
          <w:rFonts w:ascii="Arial Narrow" w:hAnsi="Arial Narrow" w:cs="Arial"/>
          <w:sz w:val="26"/>
          <w:szCs w:val="26"/>
        </w:rPr>
        <w:t xml:space="preserve"> на подстанции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6B5807">
        <w:rPr>
          <w:rFonts w:ascii="Arial Narrow" w:hAnsi="Arial Narrow" w:cs="Arial"/>
          <w:sz w:val="26"/>
          <w:szCs w:val="26"/>
        </w:rPr>
        <w:t>восемь</w:t>
      </w:r>
      <w:r w:rsidR="006B5807" w:rsidRPr="00D44A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D44A5F" w:rsidRPr="00D44A5F">
        <w:rPr>
          <w:rFonts w:ascii="Arial Narrow" w:hAnsi="Arial Narrow" w:cs="Arial"/>
          <w:sz w:val="26"/>
          <w:szCs w:val="26"/>
        </w:rPr>
        <w:t>элегазовых</w:t>
      </w:r>
      <w:proofErr w:type="spellEnd"/>
      <w:r w:rsidR="00D44A5F" w:rsidRPr="00D44A5F">
        <w:rPr>
          <w:rFonts w:ascii="Arial Narrow" w:hAnsi="Arial Narrow" w:cs="Arial"/>
          <w:sz w:val="26"/>
          <w:szCs w:val="26"/>
        </w:rPr>
        <w:t xml:space="preserve"> выключателей 220 </w:t>
      </w:r>
      <w:proofErr w:type="spellStart"/>
      <w:r w:rsidR="00D44A5F" w:rsidRPr="00D44A5F">
        <w:rPr>
          <w:rFonts w:ascii="Arial Narrow" w:hAnsi="Arial Narrow" w:cs="Arial"/>
          <w:sz w:val="26"/>
          <w:szCs w:val="26"/>
        </w:rPr>
        <w:t>кВ</w:t>
      </w:r>
      <w:r w:rsidR="00456E46">
        <w:rPr>
          <w:rFonts w:ascii="Arial Narrow" w:hAnsi="Arial Narrow" w:cs="Arial"/>
          <w:sz w:val="26"/>
          <w:szCs w:val="26"/>
        </w:rPr>
        <w:t>.</w:t>
      </w:r>
      <w:proofErr w:type="spellEnd"/>
      <w:r>
        <w:rPr>
          <w:rFonts w:ascii="Arial Narrow" w:hAnsi="Arial Narrow" w:cs="Arial"/>
          <w:sz w:val="26"/>
          <w:szCs w:val="26"/>
        </w:rPr>
        <w:t xml:space="preserve"> Такие устройства являются основным </w:t>
      </w:r>
      <w:r w:rsidRPr="00996DF7">
        <w:rPr>
          <w:rFonts w:ascii="Arial Narrow" w:hAnsi="Arial Narrow" w:cs="Arial"/>
          <w:sz w:val="26"/>
          <w:szCs w:val="26"/>
        </w:rPr>
        <w:t>коммутационным оборудованием. При возникновении коротк</w:t>
      </w:r>
      <w:r>
        <w:rPr>
          <w:rFonts w:ascii="Arial Narrow" w:hAnsi="Arial Narrow" w:cs="Arial"/>
          <w:sz w:val="26"/>
          <w:szCs w:val="26"/>
        </w:rPr>
        <w:t xml:space="preserve">их </w:t>
      </w:r>
      <w:r w:rsidRPr="00996DF7">
        <w:rPr>
          <w:rFonts w:ascii="Arial Narrow" w:hAnsi="Arial Narrow" w:cs="Arial"/>
          <w:sz w:val="26"/>
          <w:szCs w:val="26"/>
        </w:rPr>
        <w:t>замыкани</w:t>
      </w:r>
      <w:r>
        <w:rPr>
          <w:rFonts w:ascii="Arial Narrow" w:hAnsi="Arial Narrow" w:cs="Arial"/>
          <w:sz w:val="26"/>
          <w:szCs w:val="26"/>
        </w:rPr>
        <w:t>й</w:t>
      </w:r>
      <w:r w:rsidRPr="00996DF7">
        <w:rPr>
          <w:rFonts w:ascii="Arial Narrow" w:hAnsi="Arial Narrow" w:cs="Arial"/>
          <w:sz w:val="26"/>
          <w:szCs w:val="26"/>
        </w:rPr>
        <w:t xml:space="preserve"> они отключают поврежденные элементы энергосистемы, предотвращая развитие </w:t>
      </w:r>
      <w:r>
        <w:rPr>
          <w:rFonts w:ascii="Arial Narrow" w:hAnsi="Arial Narrow" w:cs="Arial"/>
          <w:sz w:val="26"/>
          <w:szCs w:val="26"/>
        </w:rPr>
        <w:t>технологических нарушений</w:t>
      </w:r>
      <w:r w:rsidRPr="00996DF7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 xml:space="preserve">Новые </w:t>
      </w:r>
      <w:proofErr w:type="spellStart"/>
      <w:r>
        <w:rPr>
          <w:rFonts w:ascii="Arial Narrow" w:hAnsi="Arial Narrow" w:cs="Arial"/>
          <w:sz w:val="26"/>
          <w:szCs w:val="26"/>
        </w:rPr>
        <w:t>элегазовые</w:t>
      </w:r>
      <w:proofErr w:type="spellEnd"/>
      <w:r>
        <w:rPr>
          <w:rFonts w:ascii="Arial Narrow" w:hAnsi="Arial Narrow" w:cs="Arial"/>
          <w:sz w:val="26"/>
          <w:szCs w:val="26"/>
        </w:rPr>
        <w:t xml:space="preserve"> выключатели отличаются высокими эксплуатационными показателями, </w:t>
      </w:r>
      <w:proofErr w:type="spellStart"/>
      <w:r>
        <w:rPr>
          <w:rFonts w:ascii="Arial Narrow" w:hAnsi="Arial Narrow" w:cs="Arial"/>
          <w:sz w:val="26"/>
          <w:szCs w:val="26"/>
        </w:rPr>
        <w:t>пожаро</w:t>
      </w:r>
      <w:proofErr w:type="spellEnd"/>
      <w:r>
        <w:rPr>
          <w:rFonts w:ascii="Arial Narrow" w:hAnsi="Arial Narrow" w:cs="Arial"/>
          <w:sz w:val="26"/>
          <w:szCs w:val="26"/>
        </w:rPr>
        <w:t>- и взрывобезопасностью.</w:t>
      </w:r>
    </w:p>
    <w:p w14:paraId="4B2BF848" w14:textId="7D3DC94E" w:rsidR="00996DF7" w:rsidRDefault="00996DF7" w:rsidP="005E41DD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Также внедрены микропроцессорные комплексы релейной защиты и противоаварийной автоматики, характеризующиеся </w:t>
      </w:r>
      <w:r w:rsidRPr="00996DF7">
        <w:rPr>
          <w:rFonts w:ascii="Arial Narrow" w:hAnsi="Arial Narrow" w:cs="Arial"/>
          <w:sz w:val="26"/>
          <w:szCs w:val="26"/>
        </w:rPr>
        <w:t>быстродействием, многофункциональностью, гибкой логикой работы, удобным интерфейсом.</w:t>
      </w:r>
    </w:p>
    <w:p w14:paraId="3A91E46B" w14:textId="61BACEEC" w:rsidR="00D44A5F" w:rsidRPr="00D44A5F" w:rsidRDefault="0025320E" w:rsidP="00060BD8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475A65">
        <w:rPr>
          <w:rFonts w:ascii="Arial Narrow" w:hAnsi="Arial Narrow" w:cs="Arial"/>
          <w:sz w:val="26"/>
          <w:szCs w:val="26"/>
        </w:rPr>
        <w:t>З</w:t>
      </w:r>
      <w:r w:rsidR="002D60ED" w:rsidRPr="00475A65">
        <w:rPr>
          <w:rFonts w:ascii="Arial Narrow" w:hAnsi="Arial Narrow" w:cs="Arial"/>
          <w:sz w:val="26"/>
          <w:szCs w:val="26"/>
        </w:rPr>
        <w:t>амен</w:t>
      </w:r>
      <w:r w:rsidRPr="00475A65">
        <w:rPr>
          <w:rFonts w:ascii="Arial Narrow" w:hAnsi="Arial Narrow" w:cs="Arial"/>
          <w:sz w:val="26"/>
          <w:szCs w:val="26"/>
        </w:rPr>
        <w:t>а</w:t>
      </w:r>
      <w:r w:rsidR="002D60ED" w:rsidRPr="00475A65">
        <w:rPr>
          <w:rFonts w:ascii="Arial Narrow" w:hAnsi="Arial Narrow" w:cs="Arial"/>
          <w:sz w:val="26"/>
          <w:szCs w:val="26"/>
        </w:rPr>
        <w:t xml:space="preserve"> </w:t>
      </w:r>
      <w:r w:rsidR="00FF1044" w:rsidRPr="00475A65">
        <w:rPr>
          <w:rFonts w:ascii="Arial Narrow" w:hAnsi="Arial Narrow" w:cs="Arial"/>
          <w:sz w:val="26"/>
          <w:szCs w:val="26"/>
        </w:rPr>
        <w:t>выключател</w:t>
      </w:r>
      <w:r w:rsidR="002D60ED" w:rsidRPr="00475A65">
        <w:rPr>
          <w:rFonts w:ascii="Arial Narrow" w:hAnsi="Arial Narrow" w:cs="Arial"/>
          <w:sz w:val="26"/>
          <w:szCs w:val="26"/>
        </w:rPr>
        <w:t>ей</w:t>
      </w:r>
      <w:r w:rsidR="00FF1044" w:rsidRPr="00475A65">
        <w:rPr>
          <w:rFonts w:ascii="Arial Narrow" w:hAnsi="Arial Narrow" w:cs="Arial"/>
          <w:sz w:val="26"/>
          <w:szCs w:val="26"/>
        </w:rPr>
        <w:t xml:space="preserve"> 220 кВ на </w:t>
      </w:r>
      <w:r w:rsidR="00664926">
        <w:rPr>
          <w:rFonts w:ascii="Arial Narrow" w:hAnsi="Arial Narrow" w:cs="Arial"/>
          <w:sz w:val="26"/>
          <w:szCs w:val="26"/>
        </w:rPr>
        <w:t>объектах</w:t>
      </w:r>
      <w:r w:rsidR="00664926" w:rsidRPr="00475A65">
        <w:rPr>
          <w:rFonts w:ascii="Arial Narrow" w:hAnsi="Arial Narrow" w:cs="Arial"/>
          <w:sz w:val="26"/>
          <w:szCs w:val="26"/>
        </w:rPr>
        <w:t xml:space="preserve"> </w:t>
      </w:r>
      <w:r w:rsidR="0003503C">
        <w:rPr>
          <w:rFonts w:ascii="Arial Narrow" w:hAnsi="Arial Narrow" w:cs="Arial"/>
          <w:sz w:val="26"/>
          <w:szCs w:val="26"/>
        </w:rPr>
        <w:t>«</w:t>
      </w:r>
      <w:proofErr w:type="spellStart"/>
      <w:r w:rsidR="0003503C">
        <w:rPr>
          <w:rFonts w:ascii="Arial Narrow" w:hAnsi="Arial Narrow" w:cs="Arial"/>
          <w:sz w:val="26"/>
          <w:szCs w:val="26"/>
        </w:rPr>
        <w:t>бамовского</w:t>
      </w:r>
      <w:proofErr w:type="spellEnd"/>
      <w:r w:rsidR="0003503C">
        <w:rPr>
          <w:rFonts w:ascii="Arial Narrow" w:hAnsi="Arial Narrow" w:cs="Arial"/>
          <w:sz w:val="26"/>
          <w:szCs w:val="26"/>
        </w:rPr>
        <w:t xml:space="preserve">» </w:t>
      </w:r>
      <w:r w:rsidR="002D60ED" w:rsidRPr="00475A65">
        <w:rPr>
          <w:rFonts w:ascii="Arial Narrow" w:hAnsi="Arial Narrow" w:cs="Arial"/>
          <w:sz w:val="26"/>
          <w:szCs w:val="26"/>
        </w:rPr>
        <w:t>транзита</w:t>
      </w:r>
      <w:r w:rsidR="002B2740">
        <w:rPr>
          <w:rFonts w:ascii="Arial Narrow" w:hAnsi="Arial Narrow" w:cs="Arial"/>
          <w:sz w:val="26"/>
          <w:szCs w:val="26"/>
        </w:rPr>
        <w:t xml:space="preserve"> </w:t>
      </w:r>
      <w:r w:rsidR="002D60ED" w:rsidRPr="00475A65">
        <w:rPr>
          <w:rFonts w:ascii="Arial Narrow" w:hAnsi="Arial Narrow" w:cs="Arial"/>
          <w:sz w:val="26"/>
          <w:szCs w:val="26"/>
        </w:rPr>
        <w:t>вед</w:t>
      </w:r>
      <w:r w:rsidRPr="00475A65">
        <w:rPr>
          <w:rFonts w:ascii="Arial Narrow" w:hAnsi="Arial Narrow" w:cs="Arial"/>
          <w:sz w:val="26"/>
          <w:szCs w:val="26"/>
        </w:rPr>
        <w:t>ется комплексно.</w:t>
      </w:r>
      <w:r w:rsidR="002D60ED" w:rsidRPr="00475A65">
        <w:rPr>
          <w:rFonts w:ascii="Arial Narrow" w:hAnsi="Arial Narrow" w:cs="Arial"/>
          <w:sz w:val="26"/>
          <w:szCs w:val="26"/>
        </w:rPr>
        <w:t xml:space="preserve"> </w:t>
      </w:r>
      <w:r w:rsidR="00D44A5F">
        <w:rPr>
          <w:rFonts w:ascii="Arial Narrow" w:hAnsi="Arial Narrow" w:cs="Arial"/>
          <w:sz w:val="26"/>
          <w:szCs w:val="26"/>
        </w:rPr>
        <w:t xml:space="preserve">Ранее </w:t>
      </w:r>
      <w:r w:rsidR="00996DF7">
        <w:rPr>
          <w:rFonts w:ascii="Arial Narrow" w:hAnsi="Arial Narrow" w:cs="Arial"/>
          <w:sz w:val="26"/>
          <w:szCs w:val="26"/>
        </w:rPr>
        <w:t>аналогичные работы были проведены</w:t>
      </w:r>
      <w:r w:rsidR="005205CF" w:rsidRPr="00475A65">
        <w:rPr>
          <w:rFonts w:ascii="Arial Narrow" w:hAnsi="Arial Narrow" w:cs="Arial"/>
          <w:sz w:val="26"/>
          <w:szCs w:val="26"/>
        </w:rPr>
        <w:t xml:space="preserve"> </w:t>
      </w:r>
      <w:r w:rsidR="00996DF7">
        <w:rPr>
          <w:rFonts w:ascii="Arial Narrow" w:hAnsi="Arial Narrow" w:cs="Arial"/>
          <w:sz w:val="26"/>
          <w:szCs w:val="26"/>
        </w:rPr>
        <w:t>на подстанци</w:t>
      </w:r>
      <w:r w:rsidR="002B2740">
        <w:rPr>
          <w:rFonts w:ascii="Arial Narrow" w:hAnsi="Arial Narrow" w:cs="Arial"/>
          <w:sz w:val="26"/>
          <w:szCs w:val="26"/>
        </w:rPr>
        <w:t>и</w:t>
      </w:r>
      <w:r w:rsidR="00996DF7">
        <w:rPr>
          <w:rFonts w:ascii="Arial Narrow" w:hAnsi="Arial Narrow" w:cs="Arial"/>
          <w:sz w:val="26"/>
          <w:szCs w:val="26"/>
        </w:rPr>
        <w:t xml:space="preserve"> </w:t>
      </w:r>
      <w:r w:rsidR="002D60ED" w:rsidRPr="00475A65">
        <w:rPr>
          <w:rFonts w:ascii="Arial Narrow" w:hAnsi="Arial Narrow" w:cs="Arial"/>
          <w:sz w:val="26"/>
          <w:szCs w:val="26"/>
        </w:rPr>
        <w:t xml:space="preserve">220 кВ </w:t>
      </w:r>
      <w:r w:rsidRPr="00475A65">
        <w:rPr>
          <w:rFonts w:ascii="Arial Narrow" w:hAnsi="Arial Narrow" w:cs="Arial"/>
          <w:sz w:val="26"/>
          <w:szCs w:val="26"/>
        </w:rPr>
        <w:t>«</w:t>
      </w:r>
      <w:r w:rsidR="002D60ED" w:rsidRPr="00475A65">
        <w:rPr>
          <w:rFonts w:ascii="Arial Narrow" w:hAnsi="Arial Narrow" w:cs="Arial"/>
          <w:sz w:val="26"/>
          <w:szCs w:val="26"/>
        </w:rPr>
        <w:t>Березовая</w:t>
      </w:r>
      <w:r w:rsidRPr="00475A65">
        <w:rPr>
          <w:rFonts w:ascii="Arial Narrow" w:hAnsi="Arial Narrow" w:cs="Arial"/>
          <w:sz w:val="26"/>
          <w:szCs w:val="26"/>
        </w:rPr>
        <w:t>»</w:t>
      </w:r>
      <w:r w:rsidR="002D60ED" w:rsidRPr="00475A65">
        <w:rPr>
          <w:rFonts w:ascii="Arial Narrow" w:hAnsi="Arial Narrow" w:cs="Arial"/>
          <w:sz w:val="26"/>
          <w:szCs w:val="26"/>
        </w:rPr>
        <w:t xml:space="preserve"> в Хабаровском крае</w:t>
      </w:r>
      <w:r w:rsidR="00996DF7">
        <w:rPr>
          <w:rFonts w:ascii="Arial Narrow" w:hAnsi="Arial Narrow" w:cs="Arial"/>
          <w:sz w:val="26"/>
          <w:szCs w:val="26"/>
        </w:rPr>
        <w:t>. На</w:t>
      </w:r>
      <w:r w:rsidR="00370141" w:rsidRPr="00475A65">
        <w:rPr>
          <w:rFonts w:ascii="Arial Narrow" w:hAnsi="Arial Narrow" w:cs="Arial"/>
          <w:sz w:val="26"/>
          <w:szCs w:val="26"/>
        </w:rPr>
        <w:t xml:space="preserve"> 2024 год</w:t>
      </w:r>
      <w:r w:rsidR="00996DF7">
        <w:rPr>
          <w:rFonts w:ascii="Arial Narrow" w:hAnsi="Arial Narrow" w:cs="Arial"/>
          <w:sz w:val="26"/>
          <w:szCs w:val="26"/>
        </w:rPr>
        <w:t xml:space="preserve"> запланирована модернизация еще одного центра питания в Приамурье – </w:t>
      </w:r>
      <w:r w:rsidR="002D60ED" w:rsidRPr="00475A65">
        <w:rPr>
          <w:rFonts w:ascii="Arial Narrow" w:hAnsi="Arial Narrow" w:cs="Arial"/>
          <w:sz w:val="26"/>
          <w:szCs w:val="26"/>
        </w:rPr>
        <w:t xml:space="preserve">220 </w:t>
      </w:r>
      <w:proofErr w:type="spellStart"/>
      <w:r w:rsidR="002D60ED" w:rsidRPr="00475A65">
        <w:rPr>
          <w:rFonts w:ascii="Arial Narrow" w:hAnsi="Arial Narrow" w:cs="Arial"/>
          <w:sz w:val="26"/>
          <w:szCs w:val="26"/>
        </w:rPr>
        <w:t>кВ</w:t>
      </w:r>
      <w:proofErr w:type="spellEnd"/>
      <w:r w:rsidR="002D60ED" w:rsidRPr="00475A65">
        <w:rPr>
          <w:rFonts w:ascii="Arial Narrow" w:hAnsi="Arial Narrow" w:cs="Arial"/>
          <w:sz w:val="26"/>
          <w:szCs w:val="26"/>
        </w:rPr>
        <w:t xml:space="preserve"> </w:t>
      </w:r>
      <w:r w:rsidRPr="00475A65">
        <w:rPr>
          <w:rFonts w:ascii="Arial Narrow" w:hAnsi="Arial Narrow" w:cs="Arial"/>
          <w:sz w:val="26"/>
          <w:szCs w:val="26"/>
        </w:rPr>
        <w:t>«</w:t>
      </w:r>
      <w:proofErr w:type="spellStart"/>
      <w:r w:rsidR="002D60ED" w:rsidRPr="00475A65">
        <w:rPr>
          <w:rFonts w:ascii="Arial Narrow" w:hAnsi="Arial Narrow" w:cs="Arial"/>
          <w:sz w:val="26"/>
          <w:szCs w:val="26"/>
        </w:rPr>
        <w:t>Призейская</w:t>
      </w:r>
      <w:proofErr w:type="spellEnd"/>
      <w:r w:rsidRPr="00475A65">
        <w:rPr>
          <w:rFonts w:ascii="Arial Narrow" w:hAnsi="Arial Narrow" w:cs="Arial"/>
          <w:sz w:val="26"/>
          <w:szCs w:val="26"/>
        </w:rPr>
        <w:t>»</w:t>
      </w:r>
      <w:r w:rsidR="00060BD8">
        <w:rPr>
          <w:rFonts w:ascii="Arial Narrow" w:hAnsi="Arial Narrow" w:cs="Arial"/>
          <w:sz w:val="26"/>
          <w:szCs w:val="26"/>
        </w:rPr>
        <w:t>.</w:t>
      </w:r>
      <w:bookmarkStart w:id="0" w:name="_GoBack"/>
      <w:bookmarkEnd w:id="0"/>
    </w:p>
    <w:sectPr w:rsidR="00D44A5F" w:rsidRPr="00D44A5F" w:rsidSect="00E972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00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3503C"/>
    <w:rsid w:val="0003515A"/>
    <w:rsid w:val="00042082"/>
    <w:rsid w:val="00060BD8"/>
    <w:rsid w:val="0007074A"/>
    <w:rsid w:val="00075554"/>
    <w:rsid w:val="000767D4"/>
    <w:rsid w:val="0009310C"/>
    <w:rsid w:val="00093127"/>
    <w:rsid w:val="00096025"/>
    <w:rsid w:val="000A053A"/>
    <w:rsid w:val="000A5CF6"/>
    <w:rsid w:val="000B532F"/>
    <w:rsid w:val="000B5980"/>
    <w:rsid w:val="001009FD"/>
    <w:rsid w:val="00121B18"/>
    <w:rsid w:val="001235AE"/>
    <w:rsid w:val="00123783"/>
    <w:rsid w:val="00133E43"/>
    <w:rsid w:val="001343DE"/>
    <w:rsid w:val="00156122"/>
    <w:rsid w:val="00161FE7"/>
    <w:rsid w:val="001C6C20"/>
    <w:rsid w:val="001D6B89"/>
    <w:rsid w:val="001F132E"/>
    <w:rsid w:val="002071CA"/>
    <w:rsid w:val="0021066B"/>
    <w:rsid w:val="00217E7F"/>
    <w:rsid w:val="00233F82"/>
    <w:rsid w:val="00241101"/>
    <w:rsid w:val="00244CDF"/>
    <w:rsid w:val="00251032"/>
    <w:rsid w:val="0025320E"/>
    <w:rsid w:val="0026717A"/>
    <w:rsid w:val="00287818"/>
    <w:rsid w:val="002A1B70"/>
    <w:rsid w:val="002B0995"/>
    <w:rsid w:val="002B2740"/>
    <w:rsid w:val="002B3927"/>
    <w:rsid w:val="002B6F0A"/>
    <w:rsid w:val="002D60ED"/>
    <w:rsid w:val="002F7958"/>
    <w:rsid w:val="00305B0C"/>
    <w:rsid w:val="00306C07"/>
    <w:rsid w:val="00334A1D"/>
    <w:rsid w:val="00350C40"/>
    <w:rsid w:val="00370141"/>
    <w:rsid w:val="00371A15"/>
    <w:rsid w:val="00393B76"/>
    <w:rsid w:val="003C2AC1"/>
    <w:rsid w:val="003D1A2D"/>
    <w:rsid w:val="003F5284"/>
    <w:rsid w:val="00410F38"/>
    <w:rsid w:val="00411430"/>
    <w:rsid w:val="00450E8C"/>
    <w:rsid w:val="00456E46"/>
    <w:rsid w:val="00462C9B"/>
    <w:rsid w:val="004633ED"/>
    <w:rsid w:val="00475A65"/>
    <w:rsid w:val="004B6B0C"/>
    <w:rsid w:val="004C3F5B"/>
    <w:rsid w:val="004C5783"/>
    <w:rsid w:val="004D7449"/>
    <w:rsid w:val="005205CF"/>
    <w:rsid w:val="005322F3"/>
    <w:rsid w:val="00541121"/>
    <w:rsid w:val="005449A4"/>
    <w:rsid w:val="0055262F"/>
    <w:rsid w:val="00557985"/>
    <w:rsid w:val="00570AB6"/>
    <w:rsid w:val="00593D72"/>
    <w:rsid w:val="005C29E4"/>
    <w:rsid w:val="005C42E8"/>
    <w:rsid w:val="005D450A"/>
    <w:rsid w:val="005D5662"/>
    <w:rsid w:val="005E41DD"/>
    <w:rsid w:val="005E5479"/>
    <w:rsid w:val="005E7A0C"/>
    <w:rsid w:val="005F18B4"/>
    <w:rsid w:val="005F3625"/>
    <w:rsid w:val="005F764F"/>
    <w:rsid w:val="00613E2E"/>
    <w:rsid w:val="00621E03"/>
    <w:rsid w:val="0062715F"/>
    <w:rsid w:val="00631BD5"/>
    <w:rsid w:val="00631E57"/>
    <w:rsid w:val="0065472D"/>
    <w:rsid w:val="006612D3"/>
    <w:rsid w:val="00664926"/>
    <w:rsid w:val="006768BE"/>
    <w:rsid w:val="0067796C"/>
    <w:rsid w:val="006844BD"/>
    <w:rsid w:val="006B5807"/>
    <w:rsid w:val="006C0453"/>
    <w:rsid w:val="006C7E49"/>
    <w:rsid w:val="006D4113"/>
    <w:rsid w:val="006F7AF3"/>
    <w:rsid w:val="00703935"/>
    <w:rsid w:val="007102CD"/>
    <w:rsid w:val="00721F4A"/>
    <w:rsid w:val="007401CF"/>
    <w:rsid w:val="007A49A8"/>
    <w:rsid w:val="007C5512"/>
    <w:rsid w:val="007F1389"/>
    <w:rsid w:val="007F419C"/>
    <w:rsid w:val="00802134"/>
    <w:rsid w:val="0081173E"/>
    <w:rsid w:val="008264E0"/>
    <w:rsid w:val="00846BE2"/>
    <w:rsid w:val="008521D4"/>
    <w:rsid w:val="008578EF"/>
    <w:rsid w:val="008652F2"/>
    <w:rsid w:val="00872CD9"/>
    <w:rsid w:val="0088362E"/>
    <w:rsid w:val="00895B76"/>
    <w:rsid w:val="008B6CE0"/>
    <w:rsid w:val="008F2872"/>
    <w:rsid w:val="00996DF7"/>
    <w:rsid w:val="009F59C3"/>
    <w:rsid w:val="00A312C3"/>
    <w:rsid w:val="00A3303F"/>
    <w:rsid w:val="00A4049D"/>
    <w:rsid w:val="00A420A9"/>
    <w:rsid w:val="00A52F6F"/>
    <w:rsid w:val="00A91333"/>
    <w:rsid w:val="00AA7998"/>
    <w:rsid w:val="00AA7BE5"/>
    <w:rsid w:val="00AC0086"/>
    <w:rsid w:val="00AC178D"/>
    <w:rsid w:val="00AD6C26"/>
    <w:rsid w:val="00AE630E"/>
    <w:rsid w:val="00AF141B"/>
    <w:rsid w:val="00B01CBA"/>
    <w:rsid w:val="00B50381"/>
    <w:rsid w:val="00B53268"/>
    <w:rsid w:val="00B56211"/>
    <w:rsid w:val="00B67573"/>
    <w:rsid w:val="00C02D74"/>
    <w:rsid w:val="00C30DC6"/>
    <w:rsid w:val="00C64B39"/>
    <w:rsid w:val="00C77162"/>
    <w:rsid w:val="00CC3523"/>
    <w:rsid w:val="00CC642E"/>
    <w:rsid w:val="00CD2A54"/>
    <w:rsid w:val="00CD5368"/>
    <w:rsid w:val="00CE19EB"/>
    <w:rsid w:val="00CE4075"/>
    <w:rsid w:val="00D02B13"/>
    <w:rsid w:val="00D078B5"/>
    <w:rsid w:val="00D24604"/>
    <w:rsid w:val="00D279BB"/>
    <w:rsid w:val="00D31DC1"/>
    <w:rsid w:val="00D329D2"/>
    <w:rsid w:val="00D44A5F"/>
    <w:rsid w:val="00D90C90"/>
    <w:rsid w:val="00DB3E63"/>
    <w:rsid w:val="00DB5C4A"/>
    <w:rsid w:val="00DB761D"/>
    <w:rsid w:val="00DD04EA"/>
    <w:rsid w:val="00DE7075"/>
    <w:rsid w:val="00E01EB3"/>
    <w:rsid w:val="00E03D51"/>
    <w:rsid w:val="00E1104E"/>
    <w:rsid w:val="00E1138D"/>
    <w:rsid w:val="00E15012"/>
    <w:rsid w:val="00E446FA"/>
    <w:rsid w:val="00E4520C"/>
    <w:rsid w:val="00E520DC"/>
    <w:rsid w:val="00E57EC9"/>
    <w:rsid w:val="00E622B0"/>
    <w:rsid w:val="00E74F17"/>
    <w:rsid w:val="00E87477"/>
    <w:rsid w:val="00E87C9D"/>
    <w:rsid w:val="00E94784"/>
    <w:rsid w:val="00E97282"/>
    <w:rsid w:val="00EC38A3"/>
    <w:rsid w:val="00EF2FC6"/>
    <w:rsid w:val="00F00A67"/>
    <w:rsid w:val="00F05A34"/>
    <w:rsid w:val="00F50693"/>
    <w:rsid w:val="00F71C64"/>
    <w:rsid w:val="00F765AA"/>
    <w:rsid w:val="00F861E1"/>
    <w:rsid w:val="00FA4A18"/>
    <w:rsid w:val="00FB4398"/>
    <w:rsid w:val="00FE1C34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Герасименко Иван Павлович</cp:lastModifiedBy>
  <cp:revision>4</cp:revision>
  <cp:lastPrinted>2024-01-16T23:13:00Z</cp:lastPrinted>
  <dcterms:created xsi:type="dcterms:W3CDTF">2024-02-15T05:36:00Z</dcterms:created>
  <dcterms:modified xsi:type="dcterms:W3CDTF">2024-03-18T16:01:00Z</dcterms:modified>
</cp:coreProperties>
</file>